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FC2C9A" w14:textId="77777777" w:rsidR="008238EE" w:rsidRDefault="00000000">
      <w:pPr>
        <w:pStyle w:val="Heading1"/>
        <w:jc w:val="center"/>
      </w:pPr>
      <w:bookmarkStart w:id="0" w:name="_heading=h.ksrca3n99skg" w:colFirst="0" w:colLast="0"/>
      <w:bookmarkEnd w:id="0"/>
      <w:r>
        <w:rPr>
          <w:noProof/>
        </w:rPr>
        <w:drawing>
          <wp:inline distT="114300" distB="114300" distL="114300" distR="114300" wp14:anchorId="14C8E1FF" wp14:editId="28AD8870">
            <wp:extent cx="3652838" cy="1121811"/>
            <wp:effectExtent l="0" t="0" r="0" b="0"/>
            <wp:docPr id="2" name="image2.png" descr="Logo: Illinois Department of Public Health"/>
            <wp:cNvGraphicFramePr/>
            <a:graphic xmlns:a="http://schemas.openxmlformats.org/drawingml/2006/main">
              <a:graphicData uri="http://schemas.openxmlformats.org/drawingml/2006/picture">
                <pic:pic xmlns:pic="http://schemas.openxmlformats.org/drawingml/2006/picture">
                  <pic:nvPicPr>
                    <pic:cNvPr id="2" name="image2.png" descr="Logo: Illinois Department of Public Health"/>
                    <pic:cNvPicPr preferRelativeResize="0"/>
                  </pic:nvPicPr>
                  <pic:blipFill>
                    <a:blip r:embed="rId8"/>
                    <a:srcRect/>
                    <a:stretch>
                      <a:fillRect/>
                    </a:stretch>
                  </pic:blipFill>
                  <pic:spPr>
                    <a:xfrm>
                      <a:off x="0" y="0"/>
                      <a:ext cx="3652838" cy="1121811"/>
                    </a:xfrm>
                    <a:prstGeom prst="rect">
                      <a:avLst/>
                    </a:prstGeom>
                    <a:ln/>
                  </pic:spPr>
                </pic:pic>
              </a:graphicData>
            </a:graphic>
          </wp:inline>
        </w:drawing>
      </w:r>
    </w:p>
    <w:p w14:paraId="2D47ED62" w14:textId="77777777" w:rsidR="008238EE" w:rsidRDefault="008238EE">
      <w:pPr>
        <w:pStyle w:val="Heading1"/>
        <w:jc w:val="center"/>
      </w:pPr>
      <w:bookmarkStart w:id="1" w:name="_heading=h.cvsrlkeiznw2" w:colFirst="0" w:colLast="0"/>
      <w:bookmarkEnd w:id="1"/>
    </w:p>
    <w:p w14:paraId="3B6A8F7C" w14:textId="77777777" w:rsidR="008238EE" w:rsidRDefault="008238EE">
      <w:pPr>
        <w:pStyle w:val="Heading1"/>
        <w:jc w:val="center"/>
      </w:pPr>
      <w:bookmarkStart w:id="2" w:name="_heading=h.ig2jlnb6fz4k" w:colFirst="0" w:colLast="0"/>
      <w:bookmarkEnd w:id="2"/>
    </w:p>
    <w:p w14:paraId="020F5B72" w14:textId="77777777" w:rsidR="008238EE" w:rsidRDefault="00000000">
      <w:pPr>
        <w:pStyle w:val="Heading1"/>
        <w:jc w:val="center"/>
        <w:rPr>
          <w:sz w:val="36"/>
          <w:szCs w:val="36"/>
        </w:rPr>
      </w:pPr>
      <w:bookmarkStart w:id="3" w:name="_heading=h.npfm43xbw57l" w:colFirst="0" w:colLast="0"/>
      <w:bookmarkEnd w:id="3"/>
      <w:r>
        <w:rPr>
          <w:sz w:val="36"/>
          <w:szCs w:val="36"/>
        </w:rPr>
        <w:t xml:space="preserve">Illinois Department of Public Health </w:t>
      </w:r>
      <w:r>
        <w:rPr>
          <w:sz w:val="36"/>
          <w:szCs w:val="36"/>
        </w:rPr>
        <w:br/>
        <w:t>2024 Access and Functional Needs Summit Tabletop</w:t>
      </w:r>
      <w:r>
        <w:rPr>
          <w:sz w:val="36"/>
          <w:szCs w:val="36"/>
        </w:rPr>
        <w:br/>
        <w:t xml:space="preserve">Strengthens, Weakness, Opportunities, Threats </w:t>
      </w:r>
      <w:r>
        <w:rPr>
          <w:sz w:val="36"/>
          <w:szCs w:val="36"/>
        </w:rPr>
        <w:br/>
        <w:t>(SWOT) Analysis</w:t>
      </w:r>
    </w:p>
    <w:p w14:paraId="2233DE43" w14:textId="77777777" w:rsidR="008238EE" w:rsidRDefault="008238EE"/>
    <w:p w14:paraId="3AE26C83" w14:textId="77777777" w:rsidR="008238EE" w:rsidRDefault="00000000">
      <w:pPr>
        <w:jc w:val="center"/>
        <w:rPr>
          <w:b/>
          <w:sz w:val="32"/>
          <w:szCs w:val="32"/>
        </w:rPr>
      </w:pPr>
      <w:r>
        <w:rPr>
          <w:b/>
          <w:sz w:val="32"/>
          <w:szCs w:val="32"/>
        </w:rPr>
        <w:t>June 26, 2024</w:t>
      </w:r>
    </w:p>
    <w:p w14:paraId="1B69A29A" w14:textId="77777777" w:rsidR="008238EE" w:rsidRDefault="00000000">
      <w:pPr>
        <w:jc w:val="center"/>
        <w:rPr>
          <w:b/>
          <w:sz w:val="32"/>
          <w:szCs w:val="32"/>
        </w:rPr>
      </w:pPr>
      <w:r>
        <w:rPr>
          <w:b/>
          <w:sz w:val="32"/>
          <w:szCs w:val="32"/>
        </w:rPr>
        <w:t>Springfield, IL</w:t>
      </w:r>
    </w:p>
    <w:p w14:paraId="3E8FAC96" w14:textId="77777777" w:rsidR="008238EE" w:rsidRDefault="008238EE">
      <w:pPr>
        <w:jc w:val="center"/>
      </w:pPr>
    </w:p>
    <w:p w14:paraId="28DCCAA3" w14:textId="77777777" w:rsidR="008238EE" w:rsidRDefault="008238EE">
      <w:pPr>
        <w:jc w:val="center"/>
      </w:pPr>
    </w:p>
    <w:p w14:paraId="3956A861" w14:textId="77777777" w:rsidR="008238EE" w:rsidRDefault="008238EE">
      <w:pPr>
        <w:jc w:val="center"/>
      </w:pPr>
    </w:p>
    <w:p w14:paraId="4C8670EC" w14:textId="77777777" w:rsidR="008238EE" w:rsidRDefault="008238EE">
      <w:pPr>
        <w:jc w:val="center"/>
      </w:pPr>
    </w:p>
    <w:p w14:paraId="5CA6E5D9" w14:textId="77777777" w:rsidR="008238EE" w:rsidRDefault="008238EE">
      <w:pPr>
        <w:jc w:val="center"/>
      </w:pPr>
    </w:p>
    <w:p w14:paraId="09CCA70D" w14:textId="77777777" w:rsidR="008238EE" w:rsidRDefault="008238EE">
      <w:pPr>
        <w:jc w:val="center"/>
      </w:pPr>
    </w:p>
    <w:p w14:paraId="0B3162CF" w14:textId="77777777" w:rsidR="008238EE" w:rsidRDefault="008238EE">
      <w:pPr>
        <w:jc w:val="center"/>
      </w:pPr>
    </w:p>
    <w:p w14:paraId="00A864D0" w14:textId="77777777" w:rsidR="008238EE" w:rsidRDefault="008238EE">
      <w:pPr>
        <w:tabs>
          <w:tab w:val="right" w:pos="9360"/>
        </w:tabs>
        <w:spacing w:line="240" w:lineRule="auto"/>
      </w:pPr>
    </w:p>
    <w:p w14:paraId="57302939" w14:textId="77777777" w:rsidR="008238EE" w:rsidRDefault="008238EE">
      <w:pPr>
        <w:jc w:val="center"/>
      </w:pPr>
    </w:p>
    <w:p w14:paraId="6DAA493F" w14:textId="77777777" w:rsidR="008238EE" w:rsidRDefault="008238EE">
      <w:pPr>
        <w:jc w:val="center"/>
      </w:pPr>
    </w:p>
    <w:p w14:paraId="38C8DD83" w14:textId="77777777" w:rsidR="008238EE" w:rsidRDefault="00000000">
      <w:pPr>
        <w:jc w:val="center"/>
        <w:sectPr w:rsidR="008238EE">
          <w:footerReference w:type="default" r:id="rId9"/>
          <w:footerReference w:type="first" r:id="rId10"/>
          <w:pgSz w:w="12240" w:h="15840"/>
          <w:pgMar w:top="1440" w:right="1440" w:bottom="1440" w:left="1440" w:header="720" w:footer="720" w:gutter="0"/>
          <w:pgNumType w:start="1"/>
          <w:cols w:space="720"/>
          <w:titlePg/>
        </w:sectPr>
      </w:pPr>
      <w:r>
        <w:t xml:space="preserve">Developed by The Partnership for Inclusive Disaster Strategies </w:t>
      </w:r>
      <w:r>
        <w:br/>
        <w:t xml:space="preserve">and </w:t>
      </w:r>
      <w:proofErr w:type="spellStart"/>
      <w:r>
        <w:t>SpringLock</w:t>
      </w:r>
      <w:proofErr w:type="spellEnd"/>
      <w:r>
        <w:t xml:space="preserve"> Disaster Consulting</w:t>
      </w:r>
    </w:p>
    <w:p w14:paraId="0CE6CC86" w14:textId="77777777" w:rsidR="008238EE" w:rsidRDefault="00000000">
      <w:pPr>
        <w:pStyle w:val="Heading2"/>
      </w:pPr>
      <w:bookmarkStart w:id="4" w:name="_heading=h.mlhufwuqqdzu" w:colFirst="0" w:colLast="0"/>
      <w:bookmarkEnd w:id="4"/>
      <w:r>
        <w:lastRenderedPageBreak/>
        <w:t>Executive Summary</w:t>
      </w:r>
    </w:p>
    <w:p w14:paraId="0D40F3AB" w14:textId="77777777" w:rsidR="008238EE" w:rsidRDefault="00000000">
      <w:r>
        <w:t xml:space="preserve">Day one of the Summit included presentations on the importance of legal requirements for including individuals with disabilities and others with access and functional needs in preparedness, response, and recovery activities. The audience for this summit included over 100 attendees representing local and state agencies, including the Illinois Emergency Management Agency (IEMA), Illinois Department of Public Health (IDPH), multiple local Illinois departments of public health, school districts, non-governmental organizations, and members of the disability and aging network, such as IL Centers for Independent Living and the Statewide Independent Living Council of Illinois. The audience was actively listening and participated in </w:t>
      </w:r>
      <w:proofErr w:type="gramStart"/>
      <w:r>
        <w:t>question and answer</w:t>
      </w:r>
      <w:proofErr w:type="gramEnd"/>
      <w:r>
        <w:t xml:space="preserve"> sessions associated with each of the presentations.</w:t>
      </w:r>
    </w:p>
    <w:p w14:paraId="0FD0A970" w14:textId="77777777" w:rsidR="008238EE" w:rsidRDefault="00000000">
      <w:r>
        <w:t xml:space="preserve">The tabletop exercise occurred on day two of this summit with approximately 70 </w:t>
      </w:r>
      <w:proofErr w:type="gramStart"/>
      <w:r>
        <w:t>persons</w:t>
      </w:r>
      <w:proofErr w:type="gramEnd"/>
      <w:r>
        <w:t xml:space="preserve"> with the same distribution as outlined above. The tabletop consisted of three modules that covered Disaster Preparedness, Disaster Response, and Disaster Recovery for an excessive heat event spanning at least seven days with associated power outages. Various injects were outlined for the participants, including evacuation of an assisted living facility, 911 overload, and 911 requests from disabled people and others with access and functional needs living in the community dependent on </w:t>
      </w:r>
      <w:proofErr w:type="gramStart"/>
      <w:r>
        <w:t>electrically-powered</w:t>
      </w:r>
      <w:proofErr w:type="gramEnd"/>
      <w:r>
        <w:t xml:space="preserve"> equipment. Each group of participants was asked to outline their roles and responsibilities under various conditions. Participants were engaged and discussed solutions to the scenarios offered during the tabletop exercise. Four evaluators were in attendance and circulated about the room to observe and fill out evaluations of the tabletop. Notes were taken at each table and collected for review post-tabletop.</w:t>
      </w:r>
    </w:p>
    <w:p w14:paraId="5300D7A6" w14:textId="77777777" w:rsidR="008238EE" w:rsidRDefault="00000000">
      <w:r>
        <w:t>Below is a Strengths, Weaknesses, Opportunities, and Threats (SWOT) analysis of the evaluators’ and table scribes’ notes.</w:t>
      </w:r>
      <w:r>
        <w:br w:type="page"/>
      </w:r>
    </w:p>
    <w:p w14:paraId="625DCA5A" w14:textId="77777777" w:rsidR="008238EE" w:rsidRDefault="00000000">
      <w:pPr>
        <w:pStyle w:val="Heading2"/>
      </w:pPr>
      <w:bookmarkStart w:id="5" w:name="_heading=h.sm92hjehhsls" w:colFirst="0" w:colLast="0"/>
      <w:bookmarkEnd w:id="5"/>
      <w:r>
        <w:lastRenderedPageBreak/>
        <w:t>SWOT Analysis of IDPH Excessive Heat and Power Outage Tabletop Exercise (TTX)</w:t>
      </w:r>
    </w:p>
    <w:p w14:paraId="4328D0BC" w14:textId="77777777" w:rsidR="008238EE" w:rsidRDefault="00000000">
      <w:r>
        <w:t>June 26, 2024</w:t>
      </w:r>
    </w:p>
    <w:p w14:paraId="0FDCA7AC" w14:textId="77777777" w:rsidR="008238EE" w:rsidRDefault="00000000">
      <w:pPr>
        <w:pStyle w:val="Heading3"/>
        <w:spacing w:after="0" w:line="278" w:lineRule="auto"/>
      </w:pPr>
      <w:bookmarkStart w:id="6" w:name="_heading=h.r5ejyubj8w0o" w:colFirst="0" w:colLast="0"/>
      <w:bookmarkEnd w:id="6"/>
      <w:r>
        <w:t>Strengths:</w:t>
      </w:r>
    </w:p>
    <w:p w14:paraId="1F193020" w14:textId="77777777" w:rsidR="008238EE" w:rsidRDefault="00000000">
      <w:pPr>
        <w:numPr>
          <w:ilvl w:val="0"/>
          <w:numId w:val="1"/>
        </w:numPr>
        <w:pBdr>
          <w:top w:val="nil"/>
          <w:left w:val="nil"/>
          <w:bottom w:val="nil"/>
          <w:right w:val="nil"/>
          <w:between w:val="nil"/>
        </w:pBdr>
        <w:spacing w:after="40"/>
        <w:rPr>
          <w:color w:val="000000"/>
        </w:rPr>
      </w:pPr>
      <w:r>
        <w:rPr>
          <w:color w:val="000000"/>
        </w:rPr>
        <w:t>Regions reached out to Assisted Living Centers in their geographic area</w:t>
      </w:r>
    </w:p>
    <w:p w14:paraId="24580FC6" w14:textId="77777777" w:rsidR="008238EE" w:rsidRDefault="00000000">
      <w:pPr>
        <w:numPr>
          <w:ilvl w:val="0"/>
          <w:numId w:val="1"/>
        </w:numPr>
        <w:pBdr>
          <w:top w:val="nil"/>
          <w:left w:val="nil"/>
          <w:bottom w:val="nil"/>
          <w:right w:val="nil"/>
          <w:between w:val="nil"/>
        </w:pBdr>
        <w:spacing w:after="40"/>
      </w:pPr>
      <w:r>
        <w:rPr>
          <w:color w:val="000000"/>
        </w:rPr>
        <w:t xml:space="preserve">Planned for generator power for assisted living </w:t>
      </w:r>
      <w:r>
        <w:t>facilities</w:t>
      </w:r>
    </w:p>
    <w:p w14:paraId="6161D1BB" w14:textId="77777777" w:rsidR="008238EE" w:rsidRDefault="00000000">
      <w:pPr>
        <w:numPr>
          <w:ilvl w:val="0"/>
          <w:numId w:val="1"/>
        </w:numPr>
        <w:pBdr>
          <w:top w:val="nil"/>
          <w:left w:val="nil"/>
          <w:bottom w:val="nil"/>
          <w:right w:val="nil"/>
          <w:between w:val="nil"/>
        </w:pBdr>
        <w:spacing w:after="40"/>
      </w:pPr>
      <w:r>
        <w:rPr>
          <w:color w:val="000000"/>
        </w:rPr>
        <w:t xml:space="preserve">Reliance on resources for </w:t>
      </w:r>
      <w:r>
        <w:t>up-to-date</w:t>
      </w:r>
      <w:r>
        <w:rPr>
          <w:color w:val="000000"/>
        </w:rPr>
        <w:t xml:space="preserve"> information such as IEMA, Web EOC, National Weather Service, </w:t>
      </w:r>
      <w:r>
        <w:t>h</w:t>
      </w:r>
      <w:r>
        <w:rPr>
          <w:color w:val="000000"/>
        </w:rPr>
        <w:t xml:space="preserve">ospital </w:t>
      </w:r>
      <w:r>
        <w:t>c</w:t>
      </w:r>
      <w:r>
        <w:rPr>
          <w:color w:val="000000"/>
        </w:rPr>
        <w:t xml:space="preserve">oalitions </w:t>
      </w:r>
    </w:p>
    <w:p w14:paraId="00B7D29F" w14:textId="77777777" w:rsidR="008238EE" w:rsidRDefault="00000000">
      <w:pPr>
        <w:numPr>
          <w:ilvl w:val="0"/>
          <w:numId w:val="1"/>
        </w:numPr>
        <w:pBdr>
          <w:top w:val="nil"/>
          <w:left w:val="nil"/>
          <w:bottom w:val="nil"/>
          <w:right w:val="nil"/>
          <w:between w:val="nil"/>
        </w:pBdr>
        <w:spacing w:after="40"/>
      </w:pPr>
      <w:r>
        <w:rPr>
          <w:color w:val="000000"/>
        </w:rPr>
        <w:t xml:space="preserve">EMA has access to generators </w:t>
      </w:r>
      <w:r>
        <w:t>on-site</w:t>
      </w:r>
    </w:p>
    <w:p w14:paraId="2717CF84" w14:textId="77777777" w:rsidR="008238EE" w:rsidRDefault="00000000">
      <w:pPr>
        <w:numPr>
          <w:ilvl w:val="0"/>
          <w:numId w:val="1"/>
        </w:numPr>
        <w:spacing w:after="40"/>
      </w:pPr>
      <w:r>
        <w:t xml:space="preserve">Public Information Officer (PIO) sent out pre-scripted messaging - uniform messaging </w:t>
      </w:r>
    </w:p>
    <w:p w14:paraId="5780C5CE" w14:textId="77777777" w:rsidR="008238EE" w:rsidRDefault="00000000">
      <w:pPr>
        <w:numPr>
          <w:ilvl w:val="0"/>
          <w:numId w:val="1"/>
        </w:numPr>
        <w:spacing w:after="40"/>
      </w:pPr>
      <w:r>
        <w:rPr>
          <w:color w:val="000000"/>
        </w:rPr>
        <w:t>Reliance on All</w:t>
      </w:r>
      <w:r>
        <w:t>-</w:t>
      </w:r>
      <w:r>
        <w:rPr>
          <w:color w:val="000000"/>
        </w:rPr>
        <w:t xml:space="preserve">Hazard Plans </w:t>
      </w:r>
    </w:p>
    <w:p w14:paraId="023166CA" w14:textId="77777777" w:rsidR="008238EE" w:rsidRDefault="00000000">
      <w:pPr>
        <w:numPr>
          <w:ilvl w:val="0"/>
          <w:numId w:val="1"/>
        </w:numPr>
        <w:spacing w:after="40"/>
      </w:pPr>
      <w:r>
        <w:rPr>
          <w:color w:val="000000"/>
        </w:rPr>
        <w:t xml:space="preserve">Knowing their communities </w:t>
      </w:r>
      <w:r>
        <w:t>and</w:t>
      </w:r>
      <w:r>
        <w:rPr>
          <w:color w:val="000000"/>
        </w:rPr>
        <w:t xml:space="preserve"> knowing </w:t>
      </w:r>
      <w:r>
        <w:t>partners'</w:t>
      </w:r>
      <w:r>
        <w:rPr>
          <w:color w:val="000000"/>
        </w:rPr>
        <w:t xml:space="preserve"> locations</w:t>
      </w:r>
      <w:r>
        <w:t xml:space="preserve">, such as </w:t>
      </w:r>
      <w:r>
        <w:rPr>
          <w:color w:val="000000"/>
        </w:rPr>
        <w:t xml:space="preserve">fire / police </w:t>
      </w:r>
      <w:r>
        <w:t>departments</w:t>
      </w:r>
      <w:r>
        <w:rPr>
          <w:color w:val="000000"/>
        </w:rPr>
        <w:t>, Emergency Medical Services (EMS), American Red Cross, nonprofits, nursing homes, assisted living, schools</w:t>
      </w:r>
    </w:p>
    <w:p w14:paraId="3C41013D" w14:textId="77777777" w:rsidR="008238EE" w:rsidRDefault="00000000">
      <w:pPr>
        <w:numPr>
          <w:ilvl w:val="0"/>
          <w:numId w:val="1"/>
        </w:numPr>
        <w:pBdr>
          <w:top w:val="nil"/>
          <w:left w:val="nil"/>
          <w:bottom w:val="nil"/>
          <w:right w:val="nil"/>
          <w:between w:val="nil"/>
        </w:pBdr>
        <w:spacing w:after="40"/>
      </w:pPr>
      <w:r>
        <w:rPr>
          <w:color w:val="000000"/>
        </w:rPr>
        <w:t>Incorporation of the hospital coalitions</w:t>
      </w:r>
    </w:p>
    <w:p w14:paraId="24D9614C" w14:textId="77777777" w:rsidR="008238EE" w:rsidRDefault="00000000">
      <w:pPr>
        <w:numPr>
          <w:ilvl w:val="0"/>
          <w:numId w:val="1"/>
        </w:numPr>
        <w:pBdr>
          <w:top w:val="nil"/>
          <w:left w:val="nil"/>
          <w:bottom w:val="nil"/>
          <w:right w:val="nil"/>
          <w:between w:val="nil"/>
        </w:pBdr>
        <w:spacing w:after="40"/>
      </w:pPr>
      <w:r>
        <w:t>Innovative thinking in certain geographic areas in the state of Illinois on how to reach and work with community members who utilize alternative transportation resources, public meeting spaces, and senior retirement communities</w:t>
      </w:r>
    </w:p>
    <w:p w14:paraId="42766CD0" w14:textId="77777777" w:rsidR="008238EE" w:rsidRDefault="00000000">
      <w:pPr>
        <w:numPr>
          <w:ilvl w:val="0"/>
          <w:numId w:val="1"/>
        </w:numPr>
        <w:pBdr>
          <w:top w:val="nil"/>
          <w:left w:val="nil"/>
          <w:bottom w:val="nil"/>
          <w:right w:val="nil"/>
          <w:between w:val="nil"/>
        </w:pBdr>
        <w:spacing w:after="40"/>
      </w:pPr>
      <w:r>
        <w:t>Some regions identified that they are working with senior centers, day habilitation programs that serve people with Intellectual and Developmental Disabilities, Area Agencies on Aging, hotels, visitor centers, and chambers of commerce</w:t>
      </w:r>
    </w:p>
    <w:p w14:paraId="543936FC" w14:textId="77777777" w:rsidR="008238EE" w:rsidRDefault="00000000">
      <w:pPr>
        <w:pStyle w:val="Heading3"/>
        <w:spacing w:before="120" w:after="0"/>
      </w:pPr>
      <w:bookmarkStart w:id="7" w:name="_heading=h.9x6h6lox57mw" w:colFirst="0" w:colLast="0"/>
      <w:bookmarkEnd w:id="7"/>
      <w:r>
        <w:t>Weaknesses:</w:t>
      </w:r>
    </w:p>
    <w:p w14:paraId="31FF5011" w14:textId="77777777" w:rsidR="008238EE" w:rsidRDefault="00000000">
      <w:pPr>
        <w:numPr>
          <w:ilvl w:val="0"/>
          <w:numId w:val="1"/>
        </w:numPr>
        <w:spacing w:after="40"/>
      </w:pPr>
      <w:r>
        <w:t>Difficulty in reaching the entire community: bus drivers - union availability, lack of lifts</w:t>
      </w:r>
    </w:p>
    <w:p w14:paraId="2AAF72F2" w14:textId="77777777" w:rsidR="008238EE" w:rsidRDefault="00000000">
      <w:pPr>
        <w:numPr>
          <w:ilvl w:val="0"/>
          <w:numId w:val="1"/>
        </w:numPr>
        <w:spacing w:after="40"/>
      </w:pPr>
      <w:r>
        <w:rPr>
          <w:color w:val="000000"/>
        </w:rPr>
        <w:t xml:space="preserve">Lack of knowledge of Emergency </w:t>
      </w:r>
      <w:r>
        <w:t>O</w:t>
      </w:r>
      <w:r>
        <w:rPr>
          <w:color w:val="000000"/>
        </w:rPr>
        <w:t xml:space="preserve">perations </w:t>
      </w:r>
      <w:r>
        <w:t>P</w:t>
      </w:r>
      <w:r>
        <w:rPr>
          <w:color w:val="000000"/>
        </w:rPr>
        <w:t>lans and how to locate the</w:t>
      </w:r>
      <w:r>
        <w:t>m, as well as the detail contained in the processes, procedures, protocols, policies, and training</w:t>
      </w:r>
    </w:p>
    <w:p w14:paraId="27D96E6E" w14:textId="77777777" w:rsidR="008238EE" w:rsidRDefault="00000000">
      <w:pPr>
        <w:numPr>
          <w:ilvl w:val="0"/>
          <w:numId w:val="1"/>
        </w:numPr>
        <w:spacing w:after="40"/>
      </w:pPr>
      <w:r>
        <w:rPr>
          <w:color w:val="000000"/>
        </w:rPr>
        <w:t>Lack of incorporating individuals with disabilities and others with access and functional needs in planning for excessive heat and power outage events at the regional level</w:t>
      </w:r>
    </w:p>
    <w:p w14:paraId="5B6E347F" w14:textId="77777777" w:rsidR="008238EE" w:rsidRDefault="00000000">
      <w:pPr>
        <w:numPr>
          <w:ilvl w:val="0"/>
          <w:numId w:val="1"/>
        </w:numPr>
        <w:spacing w:after="40"/>
      </w:pPr>
      <w:r>
        <w:rPr>
          <w:color w:val="000000"/>
        </w:rPr>
        <w:t xml:space="preserve">Lack of outreach to Centers for Independent </w:t>
      </w:r>
      <w:r>
        <w:t>L</w:t>
      </w:r>
      <w:r>
        <w:rPr>
          <w:color w:val="000000"/>
        </w:rPr>
        <w:t>iving</w:t>
      </w:r>
      <w:r>
        <w:t>,</w:t>
      </w:r>
      <w:r>
        <w:rPr>
          <w:color w:val="000000"/>
        </w:rPr>
        <w:t xml:space="preserve"> other </w:t>
      </w:r>
      <w:r>
        <w:t xml:space="preserve">disability- and aging-focused community-based organizations, </w:t>
      </w:r>
      <w:r>
        <w:rPr>
          <w:color w:val="000000"/>
        </w:rPr>
        <w:t>and individuals with disabilities and others with access and functional needs</w:t>
      </w:r>
      <w:r>
        <w:t xml:space="preserve"> in the state of Illinois </w:t>
      </w:r>
      <w:r>
        <w:rPr>
          <w:color w:val="000000"/>
        </w:rPr>
        <w:t>and identifying the responsible and accountable agency for this outreach</w:t>
      </w:r>
    </w:p>
    <w:p w14:paraId="2DE0D15E" w14:textId="77777777" w:rsidR="008238EE" w:rsidRDefault="00000000">
      <w:pPr>
        <w:numPr>
          <w:ilvl w:val="0"/>
          <w:numId w:val="1"/>
        </w:numPr>
        <w:spacing w:after="40"/>
      </w:pPr>
      <w:r>
        <w:rPr>
          <w:color w:val="000000"/>
        </w:rPr>
        <w:lastRenderedPageBreak/>
        <w:t xml:space="preserve">Lack of use of multiple resources on </w:t>
      </w:r>
      <w:r>
        <w:t>www.heat</w:t>
      </w:r>
      <w:r>
        <w:rPr>
          <w:color w:val="000000"/>
        </w:rPr>
        <w:t>.gov, including Climate Prediction Center Probabilistic Extreme forecast and Extreme Heat Vulnerability mapping tool</w:t>
      </w:r>
    </w:p>
    <w:p w14:paraId="24CCC5D6" w14:textId="77777777" w:rsidR="008238EE" w:rsidRDefault="00000000">
      <w:pPr>
        <w:numPr>
          <w:ilvl w:val="0"/>
          <w:numId w:val="1"/>
        </w:numPr>
        <w:spacing w:after="40"/>
      </w:pPr>
      <w:r>
        <w:rPr>
          <w:color w:val="000000"/>
        </w:rPr>
        <w:t>Reliance on E</w:t>
      </w:r>
      <w:r>
        <w:t>MS</w:t>
      </w:r>
      <w:r>
        <w:rPr>
          <w:color w:val="000000"/>
        </w:rPr>
        <w:t xml:space="preserve"> for accessible transport</w:t>
      </w:r>
    </w:p>
    <w:p w14:paraId="5ECE6F8B" w14:textId="77777777" w:rsidR="008238EE" w:rsidRDefault="00000000">
      <w:pPr>
        <w:numPr>
          <w:ilvl w:val="0"/>
          <w:numId w:val="1"/>
        </w:numPr>
        <w:pBdr>
          <w:top w:val="nil"/>
          <w:left w:val="nil"/>
          <w:bottom w:val="nil"/>
          <w:right w:val="nil"/>
          <w:between w:val="nil"/>
        </w:pBdr>
        <w:spacing w:after="40"/>
        <w:rPr>
          <w:color w:val="000000"/>
        </w:rPr>
      </w:pPr>
      <w:r>
        <w:rPr>
          <w:color w:val="000000"/>
        </w:rPr>
        <w:t>No mention of a volunteer surge plan to staff cooling centers</w:t>
      </w:r>
    </w:p>
    <w:p w14:paraId="309A084E" w14:textId="77777777" w:rsidR="008238EE" w:rsidRDefault="00000000">
      <w:pPr>
        <w:numPr>
          <w:ilvl w:val="0"/>
          <w:numId w:val="1"/>
        </w:numPr>
        <w:pBdr>
          <w:top w:val="nil"/>
          <w:left w:val="nil"/>
          <w:bottom w:val="nil"/>
          <w:right w:val="nil"/>
          <w:between w:val="nil"/>
        </w:pBdr>
        <w:spacing w:after="40"/>
      </w:pPr>
      <w:r>
        <w:t xml:space="preserve">Lack of plans for meeting the needs of people with disabilities living in the community who are dependent on </w:t>
      </w:r>
      <w:proofErr w:type="gramStart"/>
      <w:r>
        <w:t>electrically-powered</w:t>
      </w:r>
      <w:proofErr w:type="gramEnd"/>
      <w:r>
        <w:t xml:space="preserve"> equipment</w:t>
      </w:r>
    </w:p>
    <w:p w14:paraId="203D65E4" w14:textId="77777777" w:rsidR="008238EE" w:rsidRDefault="00000000">
      <w:pPr>
        <w:pStyle w:val="Heading3"/>
        <w:spacing w:before="120" w:after="0"/>
      </w:pPr>
      <w:bookmarkStart w:id="8" w:name="_heading=h.uymhwzlpxsvi" w:colFirst="0" w:colLast="0"/>
      <w:bookmarkEnd w:id="8"/>
      <w:r>
        <w:t>Opportunities:</w:t>
      </w:r>
    </w:p>
    <w:p w14:paraId="6E7A8F3A" w14:textId="77777777" w:rsidR="008238EE" w:rsidRDefault="00000000">
      <w:pPr>
        <w:numPr>
          <w:ilvl w:val="0"/>
          <w:numId w:val="1"/>
        </w:numPr>
        <w:pBdr>
          <w:top w:val="nil"/>
          <w:left w:val="nil"/>
          <w:bottom w:val="nil"/>
          <w:right w:val="nil"/>
          <w:between w:val="nil"/>
        </w:pBdr>
        <w:spacing w:after="40"/>
        <w:rPr>
          <w:color w:val="000000"/>
        </w:rPr>
      </w:pPr>
      <w:r>
        <w:rPr>
          <w:color w:val="000000"/>
        </w:rPr>
        <w:t>Develop and incorporate regional planning committees for excessive heat and power outages, including individuals with disabilities and others with access and functional needs</w:t>
      </w:r>
    </w:p>
    <w:p w14:paraId="6ED59522" w14:textId="77777777" w:rsidR="008238EE" w:rsidRDefault="00000000">
      <w:pPr>
        <w:numPr>
          <w:ilvl w:val="0"/>
          <w:numId w:val="1"/>
        </w:numPr>
        <w:pBdr>
          <w:top w:val="nil"/>
          <w:left w:val="nil"/>
          <w:bottom w:val="nil"/>
          <w:right w:val="nil"/>
          <w:between w:val="nil"/>
        </w:pBdr>
        <w:spacing w:after="40"/>
        <w:rPr>
          <w:color w:val="000000"/>
        </w:rPr>
      </w:pPr>
      <w:r>
        <w:rPr>
          <w:color w:val="000000"/>
        </w:rPr>
        <w:t>Develop training and exercises based on excessive heat and power outage events, including individuals with disabilities and others with access and functional needs</w:t>
      </w:r>
    </w:p>
    <w:p w14:paraId="12C73D4E" w14:textId="77777777" w:rsidR="008238EE" w:rsidRDefault="00000000">
      <w:pPr>
        <w:numPr>
          <w:ilvl w:val="0"/>
          <w:numId w:val="1"/>
        </w:numPr>
        <w:pBdr>
          <w:top w:val="nil"/>
          <w:left w:val="nil"/>
          <w:bottom w:val="nil"/>
          <w:right w:val="nil"/>
          <w:between w:val="nil"/>
        </w:pBdr>
        <w:spacing w:after="40"/>
      </w:pPr>
      <w:r>
        <w:rPr>
          <w:color w:val="000000"/>
        </w:rPr>
        <w:t xml:space="preserve">Develop plans for </w:t>
      </w:r>
      <w:r>
        <w:t>s</w:t>
      </w:r>
      <w:r>
        <w:rPr>
          <w:color w:val="000000"/>
        </w:rPr>
        <w:t>ign and sp</w:t>
      </w:r>
      <w:r>
        <w:t>oken</w:t>
      </w:r>
      <w:r>
        <w:rPr>
          <w:color w:val="000000"/>
        </w:rPr>
        <w:t xml:space="preserve"> </w:t>
      </w:r>
      <w:r>
        <w:t>l</w:t>
      </w:r>
      <w:r>
        <w:rPr>
          <w:color w:val="000000"/>
        </w:rPr>
        <w:t>anguage interpretati</w:t>
      </w:r>
      <w:r>
        <w:t xml:space="preserve">on </w:t>
      </w:r>
      <w:r>
        <w:rPr>
          <w:color w:val="000000"/>
        </w:rPr>
        <w:t>services for languages most used in individual regions, along with written information in multiple languages</w:t>
      </w:r>
    </w:p>
    <w:p w14:paraId="008787DF" w14:textId="77777777" w:rsidR="008238EE" w:rsidRDefault="00000000">
      <w:pPr>
        <w:numPr>
          <w:ilvl w:val="0"/>
          <w:numId w:val="1"/>
        </w:numPr>
        <w:pBdr>
          <w:top w:val="nil"/>
          <w:left w:val="nil"/>
          <w:bottom w:val="nil"/>
          <w:right w:val="nil"/>
          <w:between w:val="nil"/>
        </w:pBdr>
        <w:spacing w:after="40"/>
        <w:rPr>
          <w:color w:val="000000"/>
        </w:rPr>
      </w:pPr>
      <w:r>
        <w:rPr>
          <w:color w:val="000000"/>
        </w:rPr>
        <w:t>Develop partnerships with colleges and universities in regional areas to assist with planning and us</w:t>
      </w:r>
      <w:r>
        <w:t>e</w:t>
      </w:r>
      <w:r>
        <w:rPr>
          <w:color w:val="000000"/>
        </w:rPr>
        <w:t xml:space="preserve"> tools such as A</w:t>
      </w:r>
      <w:r>
        <w:t>rc</w:t>
      </w:r>
      <w:r>
        <w:rPr>
          <w:color w:val="000000"/>
        </w:rPr>
        <w:t>GIS and the National Integrated Heat Health Information System (NIHHIS)</w:t>
      </w:r>
    </w:p>
    <w:p w14:paraId="6A7421C5" w14:textId="77777777" w:rsidR="008238EE" w:rsidRDefault="00000000">
      <w:pPr>
        <w:numPr>
          <w:ilvl w:val="0"/>
          <w:numId w:val="1"/>
        </w:numPr>
        <w:pBdr>
          <w:top w:val="nil"/>
          <w:left w:val="nil"/>
          <w:bottom w:val="nil"/>
          <w:right w:val="nil"/>
          <w:between w:val="nil"/>
        </w:pBdr>
        <w:spacing w:after="40"/>
      </w:pPr>
      <w:r>
        <w:rPr>
          <w:color w:val="000000"/>
        </w:rPr>
        <w:t xml:space="preserve">Develop a comprehensive transportation plan that utilizes regional accessible transportation assets </w:t>
      </w:r>
      <w:r>
        <w:t>and</w:t>
      </w:r>
      <w:r>
        <w:rPr>
          <w:color w:val="000000"/>
        </w:rPr>
        <w:t xml:space="preserve"> does not depend on ambulances. </w:t>
      </w:r>
    </w:p>
    <w:p w14:paraId="04405F68" w14:textId="77777777" w:rsidR="008238EE" w:rsidRDefault="00000000">
      <w:pPr>
        <w:numPr>
          <w:ilvl w:val="0"/>
          <w:numId w:val="1"/>
        </w:numPr>
        <w:pBdr>
          <w:top w:val="nil"/>
          <w:left w:val="nil"/>
          <w:bottom w:val="nil"/>
          <w:right w:val="nil"/>
          <w:between w:val="nil"/>
        </w:pBdr>
        <w:spacing w:after="40"/>
      </w:pPr>
      <w:r>
        <w:rPr>
          <w:color w:val="000000"/>
        </w:rPr>
        <w:t xml:space="preserve">Develop outreach initiatives to communities to educate about excessive heat and </w:t>
      </w:r>
      <w:r>
        <w:t>its</w:t>
      </w:r>
      <w:r>
        <w:rPr>
          <w:color w:val="000000"/>
        </w:rPr>
        <w:t xml:space="preserve"> impact on individuals</w:t>
      </w:r>
      <w:r>
        <w:t>’</w:t>
      </w:r>
      <w:r>
        <w:rPr>
          <w:color w:val="000000"/>
        </w:rPr>
        <w:t xml:space="preserve"> health and mental health</w:t>
      </w:r>
    </w:p>
    <w:p w14:paraId="3498D9BF" w14:textId="77777777" w:rsidR="008238EE" w:rsidRDefault="00000000">
      <w:pPr>
        <w:numPr>
          <w:ilvl w:val="0"/>
          <w:numId w:val="1"/>
        </w:numPr>
        <w:pBdr>
          <w:top w:val="nil"/>
          <w:left w:val="nil"/>
          <w:bottom w:val="nil"/>
          <w:right w:val="nil"/>
          <w:between w:val="nil"/>
        </w:pBdr>
        <w:spacing w:after="40"/>
      </w:pPr>
      <w:r>
        <w:rPr>
          <w:color w:val="000000"/>
        </w:rPr>
        <w:t xml:space="preserve">Develop a volunteer surge and management plan for excessive heat and power outage events, including care of the volunteers for each region to include local assets such as Medical Reserve Corp or </w:t>
      </w:r>
      <w:r>
        <w:t>n</w:t>
      </w:r>
      <w:r>
        <w:rPr>
          <w:color w:val="000000"/>
        </w:rPr>
        <w:t>on-governmental organizations active in disaster</w:t>
      </w:r>
    </w:p>
    <w:p w14:paraId="66E63A5E" w14:textId="77777777" w:rsidR="008238EE" w:rsidRDefault="00000000">
      <w:pPr>
        <w:pStyle w:val="Heading3"/>
        <w:spacing w:before="120" w:after="0"/>
      </w:pPr>
      <w:bookmarkStart w:id="9" w:name="_heading=h.j3plsvisg6bc" w:colFirst="0" w:colLast="0"/>
      <w:bookmarkEnd w:id="9"/>
      <w:r>
        <w:t>Threats:</w:t>
      </w:r>
    </w:p>
    <w:p w14:paraId="295A1B04" w14:textId="77777777" w:rsidR="008238EE" w:rsidRDefault="00000000">
      <w:pPr>
        <w:numPr>
          <w:ilvl w:val="0"/>
          <w:numId w:val="1"/>
        </w:numPr>
        <w:pBdr>
          <w:top w:val="nil"/>
          <w:left w:val="nil"/>
          <w:bottom w:val="nil"/>
          <w:right w:val="nil"/>
          <w:between w:val="nil"/>
        </w:pBdr>
        <w:spacing w:after="40"/>
        <w:rPr>
          <w:color w:val="000000"/>
        </w:rPr>
      </w:pPr>
      <w:r>
        <w:rPr>
          <w:color w:val="000000"/>
        </w:rPr>
        <w:t>Excessive heat and power outage events will occur, and individuals and communities will not be prepared to act</w:t>
      </w:r>
    </w:p>
    <w:p w14:paraId="00CB2D64" w14:textId="77777777" w:rsidR="008238EE" w:rsidRDefault="00000000">
      <w:pPr>
        <w:numPr>
          <w:ilvl w:val="0"/>
          <w:numId w:val="1"/>
        </w:numPr>
        <w:pBdr>
          <w:top w:val="nil"/>
          <w:left w:val="nil"/>
          <w:bottom w:val="nil"/>
          <w:right w:val="nil"/>
          <w:between w:val="nil"/>
        </w:pBdr>
        <w:spacing w:after="40"/>
        <w:rPr>
          <w:color w:val="000000"/>
        </w:rPr>
      </w:pPr>
      <w:r>
        <w:rPr>
          <w:color w:val="000000"/>
        </w:rPr>
        <w:t xml:space="preserve">State and local </w:t>
      </w:r>
      <w:r>
        <w:t>p</w:t>
      </w:r>
      <w:r>
        <w:rPr>
          <w:color w:val="000000"/>
        </w:rPr>
        <w:t xml:space="preserve">ublic </w:t>
      </w:r>
      <w:r>
        <w:t>h</w:t>
      </w:r>
      <w:r>
        <w:rPr>
          <w:color w:val="000000"/>
        </w:rPr>
        <w:t xml:space="preserve">ealth </w:t>
      </w:r>
      <w:r>
        <w:t>d</w:t>
      </w:r>
      <w:r>
        <w:rPr>
          <w:color w:val="000000"/>
        </w:rPr>
        <w:t xml:space="preserve">epartments lack resources and funding to prepare for excessive heat and power outage events </w:t>
      </w:r>
    </w:p>
    <w:p w14:paraId="0D990D01" w14:textId="77777777" w:rsidR="008238EE" w:rsidRDefault="00000000">
      <w:pPr>
        <w:numPr>
          <w:ilvl w:val="0"/>
          <w:numId w:val="1"/>
        </w:numPr>
        <w:pBdr>
          <w:top w:val="nil"/>
          <w:left w:val="nil"/>
          <w:bottom w:val="nil"/>
          <w:right w:val="nil"/>
          <w:between w:val="nil"/>
        </w:pBdr>
        <w:spacing w:after="40"/>
      </w:pPr>
      <w:r>
        <w:rPr>
          <w:color w:val="000000"/>
        </w:rPr>
        <w:t xml:space="preserve">Individuals with disabilities and others with access and functional needs will be </w:t>
      </w:r>
      <w:r>
        <w:t>disproportionately</w:t>
      </w:r>
      <w:r>
        <w:rPr>
          <w:color w:val="000000"/>
        </w:rPr>
        <w:t xml:space="preserve"> impacted by excessive heat events and power outages</w:t>
      </w:r>
    </w:p>
    <w:p w14:paraId="43949144" w14:textId="77777777" w:rsidR="008238EE" w:rsidRDefault="00000000">
      <w:pPr>
        <w:numPr>
          <w:ilvl w:val="0"/>
          <w:numId w:val="1"/>
        </w:numPr>
        <w:pBdr>
          <w:top w:val="nil"/>
          <w:left w:val="nil"/>
          <w:bottom w:val="nil"/>
          <w:right w:val="nil"/>
          <w:between w:val="nil"/>
        </w:pBdr>
        <w:spacing w:after="240"/>
      </w:pPr>
      <w:r>
        <w:t>The p</w:t>
      </w:r>
      <w:r>
        <w:rPr>
          <w:color w:val="000000"/>
        </w:rPr>
        <w:t xml:space="preserve">erception that excessive heat will not impact their communities or that excessive heat events only occur infrequently or only in the southern tier </w:t>
      </w:r>
      <w:r>
        <w:t>of</w:t>
      </w:r>
      <w:r>
        <w:rPr>
          <w:color w:val="000000"/>
        </w:rPr>
        <w:t xml:space="preserve"> the United States</w:t>
      </w:r>
    </w:p>
    <w:p w14:paraId="3595C1FF" w14:textId="77777777" w:rsidR="008238EE" w:rsidRDefault="00000000">
      <w:pPr>
        <w:pStyle w:val="Heading3"/>
      </w:pPr>
      <w:bookmarkStart w:id="10" w:name="_heading=h.jcpnfupz9yea" w:colFirst="0" w:colLast="0"/>
      <w:bookmarkEnd w:id="10"/>
      <w:r>
        <w:lastRenderedPageBreak/>
        <w:t>Recommendation</w:t>
      </w:r>
    </w:p>
    <w:p w14:paraId="4D401F2A" w14:textId="77777777" w:rsidR="008238EE" w:rsidRDefault="00000000">
      <w:pPr>
        <w:pBdr>
          <w:top w:val="nil"/>
          <w:left w:val="nil"/>
          <w:bottom w:val="nil"/>
          <w:right w:val="nil"/>
          <w:between w:val="nil"/>
        </w:pBdr>
        <w:spacing w:after="240"/>
      </w:pPr>
      <w:r>
        <w:t xml:space="preserve">This SWOT analysis can be used to fashion a comprehensive plan for continuous improvement of emergency plans to address the needs of people with disabilities and people with access and functional needs by the Illinois Department of Public Health. </w:t>
      </w:r>
    </w:p>
    <w:p w14:paraId="2FF86BB2" w14:textId="77777777" w:rsidR="008238EE" w:rsidRDefault="00000000">
      <w:pPr>
        <w:pStyle w:val="Heading2"/>
        <w:keepNext w:val="0"/>
        <w:keepLines w:val="0"/>
        <w:spacing w:before="280"/>
      </w:pPr>
      <w:bookmarkStart w:id="11" w:name="_heading=h.mmimyv15jbci" w:colFirst="0" w:colLast="0"/>
      <w:bookmarkEnd w:id="11"/>
      <w:r>
        <w:t>Survey Results: Insights from Participant Feedback</w:t>
      </w:r>
    </w:p>
    <w:p w14:paraId="6848528B" w14:textId="77777777" w:rsidR="008238EE" w:rsidRDefault="00000000">
      <w:pPr>
        <w:spacing w:after="240"/>
      </w:pPr>
      <w:r>
        <w:t>The survey results from the TTX provided valuable insights into participants' experiences and perceptions, which align with the findings from the SWOT analysis and overall exercise evaluation. Participants, representing various local and state agencies, shared both quantitative and qualitative feedback on several aspects of the exercise, including the pre-exercise training, scenario realism, and the mix of disciplines represented. The survey data highlights both strengths and areas for improvement in the design and execution of the exercise, particularly as they relate to incorporating the needs of individuals with disabilities and people with access and functional needs.</w:t>
      </w:r>
    </w:p>
    <w:p w14:paraId="39939841" w14:textId="77777777" w:rsidR="008238EE" w:rsidRDefault="00000000">
      <w:pPr>
        <w:pStyle w:val="Heading3"/>
        <w:keepNext w:val="0"/>
        <w:keepLines w:val="0"/>
        <w:spacing w:before="240"/>
      </w:pPr>
      <w:bookmarkStart w:id="12" w:name="_heading=h.ryawx43bf6i" w:colFirst="0" w:colLast="0"/>
      <w:bookmarkEnd w:id="12"/>
      <w:r>
        <w:t>General Observations from Survey Ratings</w:t>
      </w:r>
    </w:p>
    <w:p w14:paraId="6E44D5D2" w14:textId="77777777" w:rsidR="008238EE" w:rsidRDefault="00000000">
      <w:pPr>
        <w:spacing w:before="240" w:after="240"/>
      </w:pPr>
      <w:r>
        <w:t xml:space="preserve">Twenty-two participants gave consistently high ratings for the TTX, with </w:t>
      </w:r>
      <w:proofErr w:type="gramStart"/>
      <w:r>
        <w:t>the majority of</w:t>
      </w:r>
      <w:proofErr w:type="gramEnd"/>
      <w:r>
        <w:t xml:space="preserve"> respondents giving scores of 4 or 5 on a scale of 1 to 5. This indicates that the training provided essential information for the participants' roles in the exercise and was effective in preparing them for the TTX scenarios. Similarly, the realism of the exercise scenario, which simulated an excessive heat event with power outages, was also highly rated, with all 22 respondents giving it between 4 and 5.</w:t>
      </w:r>
    </w:p>
    <w:p w14:paraId="61CBBBD1" w14:textId="77777777" w:rsidR="008238EE" w:rsidRDefault="00000000">
      <w:pPr>
        <w:spacing w:before="240" w:after="240"/>
      </w:pPr>
      <w:r>
        <w:t>Despite the overall positive feedback, five identified gaps in representation and engagement. While most participants felt that the exercise included the right people from relevant disciplines, several expressed the need for more inclusion of non-profit organizations, state agencies, and other entities involved in supporting at-risk groups, such as centers for independent living. This feedback aligns with the SWOT analysis' recognition of the lack of outreach to disability and aging-focused organizations at the state and regional levels.</w:t>
      </w:r>
    </w:p>
    <w:p w14:paraId="5FF13BBB" w14:textId="77777777" w:rsidR="008238EE" w:rsidRDefault="00000000">
      <w:pPr>
        <w:pStyle w:val="Heading3"/>
        <w:keepNext w:val="0"/>
        <w:keepLines w:val="0"/>
        <w:spacing w:before="240"/>
      </w:pPr>
      <w:bookmarkStart w:id="13" w:name="_heading=h.fde2ah5k4g5w" w:colFirst="0" w:colLast="0"/>
      <w:bookmarkEnd w:id="13"/>
      <w:r>
        <w:t>Key Themes in Qualitative Responses</w:t>
      </w:r>
    </w:p>
    <w:p w14:paraId="448D69F9" w14:textId="77777777" w:rsidR="008238EE" w:rsidRDefault="00000000">
      <w:pPr>
        <w:pStyle w:val="Heading4"/>
        <w:keepNext w:val="0"/>
        <w:keepLines w:val="0"/>
      </w:pPr>
      <w:bookmarkStart w:id="14" w:name="_heading=h.8mu8evsip4d0" w:colFirst="0" w:colLast="0"/>
      <w:bookmarkEnd w:id="14"/>
      <w:r>
        <w:t>Strengths in Networking and Collaboration</w:t>
      </w:r>
    </w:p>
    <w:p w14:paraId="002744A9" w14:textId="77777777" w:rsidR="008238EE" w:rsidRDefault="00000000">
      <w:pPr>
        <w:spacing w:after="240"/>
      </w:pPr>
      <w:r>
        <w:t xml:space="preserve">The benefit of networking and collaboration during the exercise was a dominant theme from the survey feedback. Participants highlighted the value of working with peers from various agencies, noting that the exercise fostered strong relationships that could enhance future disaster preparedness efforts. The exercise also allowed participants to develop a deeper understanding of the resources and capabilities of their counterparts, </w:t>
      </w:r>
      <w:r>
        <w:lastRenderedPageBreak/>
        <w:t>which directly supports the strength identified in the SWOT analysis regarding strong reliance on community partnerships and knowledge of local resources.</w:t>
      </w:r>
    </w:p>
    <w:p w14:paraId="7D81BAA4" w14:textId="77777777" w:rsidR="008238EE" w:rsidRDefault="00000000">
      <w:pPr>
        <w:pStyle w:val="Heading4"/>
        <w:keepNext w:val="0"/>
        <w:keepLines w:val="0"/>
        <w:spacing w:before="220"/>
      </w:pPr>
      <w:bookmarkStart w:id="15" w:name="_heading=h.l37bb8opkva9" w:colFirst="0" w:colLast="0"/>
      <w:bookmarkEnd w:id="15"/>
      <w:r>
        <w:t>Gaps in Inclusion and Preparedness for At-Risk Groups</w:t>
      </w:r>
    </w:p>
    <w:p w14:paraId="74E22F12" w14:textId="77777777" w:rsidR="008238EE" w:rsidRDefault="00000000">
      <w:r>
        <w:t xml:space="preserve">The survey responses echoed the SWOT analysis findings on gaps in planning for people with disabilities and people with access and functional needs. Several participants noted the lack of involvement from organizations that are disability focused and provide services to people with disabilities, as well as the absence of concrete plans to address the needs of people reliant on electrically powered equipment during power outages. Participants from rural regions stressed the need for more targeted outreach and planning to ensure that at-risk individuals are not left behind during an excessive heat event. Additionally, respondents from smaller organizations highlighted the challenges they faced in engaging with larger agencies. </w:t>
      </w:r>
    </w:p>
    <w:p w14:paraId="2434B9C1" w14:textId="77777777" w:rsidR="008238EE" w:rsidRDefault="00000000">
      <w:pPr>
        <w:pStyle w:val="Heading4"/>
      </w:pPr>
      <w:bookmarkStart w:id="16" w:name="_heading=h.mk41yfn95fea" w:colFirst="0" w:colLast="0"/>
      <w:bookmarkEnd w:id="16"/>
      <w:r>
        <w:t>Challenges with Time and Resource Constraints</w:t>
      </w:r>
    </w:p>
    <w:p w14:paraId="15C6F077" w14:textId="77777777" w:rsidR="008238EE" w:rsidRDefault="00000000">
      <w:r>
        <w:t xml:space="preserve">Another recurring theme in the survey feedback was the challenge of time constraints during the exercise. While participants appreciated the exercise’s structure, two noted that more time was needed to explore complex decision-making processes and address the full scope of challenges posed by the scenario. </w:t>
      </w:r>
    </w:p>
    <w:p w14:paraId="0C03C66C" w14:textId="77777777" w:rsidR="008238EE" w:rsidRDefault="00000000">
      <w:pPr>
        <w:pStyle w:val="Heading4"/>
      </w:pPr>
      <w:bookmarkStart w:id="17" w:name="_heading=h.n1hdjgjsdkp6" w:colFirst="0" w:colLast="0"/>
      <w:bookmarkEnd w:id="17"/>
      <w:r>
        <w:t>Training and Recommendations for Future Exercises</w:t>
      </w:r>
    </w:p>
    <w:p w14:paraId="07DFD1C3" w14:textId="77777777" w:rsidR="008238EE" w:rsidRDefault="00000000">
      <w:r>
        <w:t>Survey participants identified several training needs that could enhance future exercises. A couple called for additional training on legal obligations related to people with disabilities, specifically regarding the ADA and other laws governing disaster response. The training session on legal requirements led by Melissa Marshall was singled out as highly effective, with participants requesting more in-depth legal training for future exercises.</w:t>
      </w:r>
    </w:p>
    <w:p w14:paraId="307EE5FB" w14:textId="77777777" w:rsidR="008238EE" w:rsidRDefault="00000000">
      <w:r>
        <w:t>Another key recommendation from the survey was the need for better pre-exercise preparation, particularly in reviewing emergency plans and familiarizing participants with existing resources. This recommendation supports the opportunities identified in the SWOT analysis, such as the need to integrate regional planning with entities like colleges and universities to leverage their expertise in emergency preparedness.</w:t>
      </w:r>
    </w:p>
    <w:p w14:paraId="0F49943F" w14:textId="77777777" w:rsidR="008238EE" w:rsidRDefault="00000000">
      <w:r>
        <w:t>Overall, the survey results provide a comprehensive look at both the successes and opportunities of the IDPH 2024 Access and Functional Needs Summit Tabletop Exercise. The feedback from participants highlights the importance of continued efforts to improve representation, resource allocation, and training, particularly for those serving at-risk groups.</w:t>
      </w:r>
    </w:p>
    <w:sectPr w:rsidR="008238EE">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94BCAE" w14:textId="77777777" w:rsidR="003263D7" w:rsidRDefault="003263D7">
      <w:pPr>
        <w:spacing w:after="0" w:line="240" w:lineRule="auto"/>
      </w:pPr>
      <w:r>
        <w:separator/>
      </w:r>
    </w:p>
  </w:endnote>
  <w:endnote w:type="continuationSeparator" w:id="0">
    <w:p w14:paraId="3FCA8BE8" w14:textId="77777777" w:rsidR="003263D7" w:rsidRDefault="003263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AD1AAB4A-3182-42EA-B1D6-6FCE9694EEDC}"/>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embedRegular r:id="rId2" w:fontKey="{91C493DC-B540-49E4-8D47-64945661FED2}"/>
  </w:font>
  <w:font w:name="Times New Roman">
    <w:panose1 w:val="02020603050405020304"/>
    <w:charset w:val="00"/>
    <w:family w:val="roman"/>
    <w:pitch w:val="variable"/>
    <w:sig w:usb0="E0002EFF" w:usb1="C000785B" w:usb2="00000009" w:usb3="00000000" w:csb0="000001FF" w:csb1="00000000"/>
  </w:font>
  <w:font w:name="Libre Franklin">
    <w:charset w:val="00"/>
    <w:family w:val="auto"/>
    <w:pitch w:val="variable"/>
    <w:sig w:usb0="A00000FF" w:usb1="4000205B" w:usb2="00000000" w:usb3="00000000" w:csb0="00000193" w:csb1="00000000"/>
    <w:embedRegular r:id="rId3" w:fontKey="{DF9648B1-0179-447C-BC36-EE784B601E3A}"/>
  </w:font>
  <w:font w:name="Aptos">
    <w:charset w:val="00"/>
    <w:family w:val="swiss"/>
    <w:pitch w:val="variable"/>
    <w:sig w:usb0="20000287" w:usb1="00000003" w:usb2="00000000" w:usb3="00000000" w:csb0="0000019F" w:csb1="00000000"/>
    <w:embedRegular r:id="rId4" w:fontKey="{7DB2BEA8-991C-4C46-85C0-E4798DD34D1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82A002" w14:textId="77777777" w:rsidR="008238EE" w:rsidRDefault="008238EE">
    <w:pPr>
      <w:tabs>
        <w:tab w:val="right" w:pos="9360"/>
      </w:tabs>
      <w:spacing w:after="0" w:line="240" w:lineRule="auto"/>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AD9B79" w14:textId="77777777" w:rsidR="008238EE" w:rsidRDefault="00000000">
    <w:pPr>
      <w:spacing w:line="240" w:lineRule="auto"/>
      <w:jc w:val="center"/>
    </w:pPr>
    <w:r>
      <w:rPr>
        <w:rFonts w:ascii="Libre Franklin" w:eastAsia="Libre Franklin" w:hAnsi="Libre Franklin" w:cs="Libre Franklin"/>
        <w:noProof/>
        <w:color w:val="005288"/>
        <w:sz w:val="20"/>
        <w:szCs w:val="20"/>
      </w:rPr>
      <w:drawing>
        <wp:inline distT="114300" distB="114300" distL="114300" distR="114300" wp14:anchorId="082D3C9B" wp14:editId="48A53DEC">
          <wp:extent cx="593408" cy="593408"/>
          <wp:effectExtent l="0" t="0" r="0" b="0"/>
          <wp:docPr id="1" name="image1.png" descr="Logo: The Partnership for Inclusive Disaster Strategies"/>
          <wp:cNvGraphicFramePr/>
          <a:graphic xmlns:a="http://schemas.openxmlformats.org/drawingml/2006/main">
            <a:graphicData uri="http://schemas.openxmlformats.org/drawingml/2006/picture">
              <pic:pic xmlns:pic="http://schemas.openxmlformats.org/drawingml/2006/picture">
                <pic:nvPicPr>
                  <pic:cNvPr id="1" name="image1.png" descr="Logo: The Partnership for Inclusive Disaster Strategies"/>
                  <pic:cNvPicPr preferRelativeResize="0"/>
                </pic:nvPicPr>
                <pic:blipFill>
                  <a:blip r:embed="rId1"/>
                  <a:srcRect/>
                  <a:stretch>
                    <a:fillRect/>
                  </a:stretch>
                </pic:blipFill>
                <pic:spPr>
                  <a:xfrm>
                    <a:off x="0" y="0"/>
                    <a:ext cx="593408" cy="593408"/>
                  </a:xfrm>
                  <a:prstGeom prst="rect">
                    <a:avLst/>
                  </a:prstGeom>
                  <a:ln/>
                </pic:spPr>
              </pic:pic>
            </a:graphicData>
          </a:graphic>
        </wp:inline>
      </w:drawing>
    </w:r>
    <w:r>
      <w:rPr>
        <w:rFonts w:ascii="Libre Franklin" w:eastAsia="Libre Franklin" w:hAnsi="Libre Franklin" w:cs="Libre Franklin"/>
        <w:color w:val="005288"/>
        <w:sz w:val="20"/>
        <w:szCs w:val="20"/>
      </w:rPr>
      <w:tab/>
    </w:r>
    <w:r>
      <w:rPr>
        <w:rFonts w:ascii="Libre Franklin" w:eastAsia="Libre Franklin" w:hAnsi="Libre Franklin" w:cs="Libre Franklin"/>
        <w:color w:val="005288"/>
        <w:sz w:val="20"/>
        <w:szCs w:val="20"/>
      </w:rPr>
      <w:tab/>
    </w:r>
    <w:r>
      <w:rPr>
        <w:rFonts w:ascii="Libre Franklin" w:eastAsia="Libre Franklin" w:hAnsi="Libre Franklin" w:cs="Libre Franklin"/>
        <w:noProof/>
        <w:color w:val="005288"/>
        <w:sz w:val="20"/>
        <w:szCs w:val="20"/>
      </w:rPr>
      <w:drawing>
        <wp:inline distT="114300" distB="114300" distL="114300" distR="114300" wp14:anchorId="61EB3D8B" wp14:editId="02C3947D">
          <wp:extent cx="1003542" cy="558673"/>
          <wp:effectExtent l="0" t="0" r="0" b="0"/>
          <wp:docPr id="3" name="image4.png" descr="Logo: SpringLock Disaster Consulting"/>
          <wp:cNvGraphicFramePr/>
          <a:graphic xmlns:a="http://schemas.openxmlformats.org/drawingml/2006/main">
            <a:graphicData uri="http://schemas.openxmlformats.org/drawingml/2006/picture">
              <pic:pic xmlns:pic="http://schemas.openxmlformats.org/drawingml/2006/picture">
                <pic:nvPicPr>
                  <pic:cNvPr id="3" name="image4.png" descr="Logo: SpringLock Disaster Consulting"/>
                  <pic:cNvPicPr preferRelativeResize="0"/>
                </pic:nvPicPr>
                <pic:blipFill>
                  <a:blip r:embed="rId2"/>
                  <a:srcRect/>
                  <a:stretch>
                    <a:fillRect/>
                  </a:stretch>
                </pic:blipFill>
                <pic:spPr>
                  <a:xfrm>
                    <a:off x="0" y="0"/>
                    <a:ext cx="1003542" cy="558673"/>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2D7D0C" w14:textId="77777777" w:rsidR="003263D7" w:rsidRDefault="003263D7">
      <w:pPr>
        <w:spacing w:after="0" w:line="240" w:lineRule="auto"/>
      </w:pPr>
      <w:r>
        <w:separator/>
      </w:r>
    </w:p>
  </w:footnote>
  <w:footnote w:type="continuationSeparator" w:id="0">
    <w:p w14:paraId="5A009A49" w14:textId="77777777" w:rsidR="003263D7" w:rsidRDefault="003263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2627A47"/>
    <w:multiLevelType w:val="multilevel"/>
    <w:tmpl w:val="9E187F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0799118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8EE"/>
    <w:rsid w:val="00323E3B"/>
    <w:rsid w:val="003263D7"/>
    <w:rsid w:val="008238EE"/>
    <w:rsid w:val="00B975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7ADB0A"/>
  <w15:docId w15:val="{C8BC3F6A-E1D8-4CBC-A9AE-343473134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4"/>
        <w:szCs w:val="24"/>
        <w:lang w:val="en-US" w:eastAsia="en-US" w:bidi="ar-SA"/>
      </w:rPr>
    </w:rPrDefault>
    <w:pPrDefault>
      <w:pPr>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455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0455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0455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D0455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0455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0455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045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045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045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045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D0455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0455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0455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455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455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455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45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45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455A"/>
    <w:rPr>
      <w:rFonts w:eastAsiaTheme="majorEastAsia" w:cstheme="majorBidi"/>
      <w:color w:val="272727" w:themeColor="text1" w:themeTint="D8"/>
    </w:rPr>
  </w:style>
  <w:style w:type="character" w:customStyle="1" w:styleId="TitleChar">
    <w:name w:val="Title Char"/>
    <w:basedOn w:val="DefaultParagraphFont"/>
    <w:link w:val="Title"/>
    <w:uiPriority w:val="10"/>
    <w:rsid w:val="00D045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D045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455A"/>
    <w:pPr>
      <w:spacing w:before="160"/>
      <w:jc w:val="center"/>
    </w:pPr>
    <w:rPr>
      <w:i/>
      <w:iCs/>
      <w:color w:val="404040" w:themeColor="text1" w:themeTint="BF"/>
    </w:rPr>
  </w:style>
  <w:style w:type="character" w:customStyle="1" w:styleId="QuoteChar">
    <w:name w:val="Quote Char"/>
    <w:basedOn w:val="DefaultParagraphFont"/>
    <w:link w:val="Quote"/>
    <w:uiPriority w:val="29"/>
    <w:rsid w:val="00D0455A"/>
    <w:rPr>
      <w:i/>
      <w:iCs/>
      <w:color w:val="404040" w:themeColor="text1" w:themeTint="BF"/>
    </w:rPr>
  </w:style>
  <w:style w:type="paragraph" w:styleId="ListParagraph">
    <w:name w:val="List Paragraph"/>
    <w:basedOn w:val="Normal"/>
    <w:uiPriority w:val="34"/>
    <w:qFormat/>
    <w:rsid w:val="00D0455A"/>
    <w:pPr>
      <w:ind w:left="720"/>
      <w:contextualSpacing/>
    </w:pPr>
  </w:style>
  <w:style w:type="character" w:styleId="IntenseEmphasis">
    <w:name w:val="Intense Emphasis"/>
    <w:basedOn w:val="DefaultParagraphFont"/>
    <w:uiPriority w:val="21"/>
    <w:qFormat/>
    <w:rsid w:val="00D0455A"/>
    <w:rPr>
      <w:i/>
      <w:iCs/>
      <w:color w:val="0F4761" w:themeColor="accent1" w:themeShade="BF"/>
    </w:rPr>
  </w:style>
  <w:style w:type="paragraph" w:styleId="IntenseQuote">
    <w:name w:val="Intense Quote"/>
    <w:basedOn w:val="Normal"/>
    <w:next w:val="Normal"/>
    <w:link w:val="IntenseQuoteChar"/>
    <w:uiPriority w:val="30"/>
    <w:qFormat/>
    <w:rsid w:val="00D045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0455A"/>
    <w:rPr>
      <w:i/>
      <w:iCs/>
      <w:color w:val="0F4761" w:themeColor="accent1" w:themeShade="BF"/>
    </w:rPr>
  </w:style>
  <w:style w:type="character" w:styleId="IntenseReference">
    <w:name w:val="Intense Reference"/>
    <w:basedOn w:val="DefaultParagraphFont"/>
    <w:uiPriority w:val="32"/>
    <w:qFormat/>
    <w:rsid w:val="00D0455A"/>
    <w:rPr>
      <w:b/>
      <w:bCs/>
      <w:smallCaps/>
      <w:color w:val="0F4761" w:themeColor="accent1" w:themeShade="BF"/>
      <w:spacing w:val="5"/>
    </w:rPr>
  </w:style>
  <w:style w:type="paragraph" w:styleId="Header">
    <w:name w:val="header"/>
    <w:basedOn w:val="Normal"/>
    <w:link w:val="HeaderChar"/>
    <w:uiPriority w:val="99"/>
    <w:unhideWhenUsed/>
    <w:rsid w:val="00323E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3E3B"/>
  </w:style>
  <w:style w:type="paragraph" w:styleId="Footer">
    <w:name w:val="footer"/>
    <w:basedOn w:val="Normal"/>
    <w:link w:val="FooterChar"/>
    <w:uiPriority w:val="99"/>
    <w:unhideWhenUsed/>
    <w:rsid w:val="00323E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3E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4vxS78dWwRcoBxTMljd+rASGKQ==">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1725</Words>
  <Characters>9836</Characters>
  <Application>Microsoft Office Word</Application>
  <DocSecurity>0</DocSecurity>
  <Lines>81</Lines>
  <Paragraphs>23</Paragraphs>
  <ScaleCrop>false</ScaleCrop>
  <Company/>
  <LinksUpToDate>false</LinksUpToDate>
  <CharactersWithSpaces>11538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Lockyer</dc:creator>
  <cp:lastModifiedBy>Shaylin Sluzalis</cp:lastModifiedBy>
  <cp:revision>2</cp:revision>
  <dcterms:created xsi:type="dcterms:W3CDTF">2024-08-22T18:11:00Z</dcterms:created>
  <dcterms:modified xsi:type="dcterms:W3CDTF">2024-09-20T17:45:00Z</dcterms:modified>
</cp:coreProperties>
</file>