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3C32" w:rsidP="000A3C32" w:rsidRDefault="000A3C32" w14:paraId="4FAF9943" w14:textId="105FC912">
      <w:pPr>
        <w:pStyle w:val="Heading1"/>
      </w:pPr>
      <w:r w:rsidRPr="000A3C32">
        <w:t xml:space="preserve">Disability data for healthy community planning: Using disability </w:t>
      </w:r>
      <w:proofErr w:type="gramStart"/>
      <w:r w:rsidRPr="000A3C32">
        <w:t>counts</w:t>
      </w:r>
      <w:proofErr w:type="gramEnd"/>
    </w:p>
    <w:p w:rsidRPr="000A3C32" w:rsidR="000A3C32" w:rsidP="000A3C32" w:rsidRDefault="000A3C32" w14:paraId="330FFC6E" w14:textId="77777777">
      <w:r w:rsidRPr="000A3C32">
        <w:t>Lillie Greiman University of Montana, Rural Institute for Inclusive Communities</w:t>
      </w:r>
    </w:p>
    <w:p w:rsidR="000A3C32" w:rsidP="000A3C32" w:rsidRDefault="000A3C32" w14:paraId="59DBE839" w14:textId="20EBD18D">
      <w:pPr>
        <w:pStyle w:val="Heading2"/>
      </w:pPr>
      <w:r w:rsidRPr="000A3C32">
        <w:t>Disability Counts: data resources</w:t>
      </w:r>
    </w:p>
    <w:p w:rsidRPr="000A3C32" w:rsidR="000A3C32" w:rsidP="000A3C32" w:rsidRDefault="000A3C32" w14:paraId="64A90BF7" w14:textId="77777777">
      <w:pPr>
        <w:numPr>
          <w:ilvl w:val="0"/>
          <w:numId w:val="1"/>
        </w:numPr>
      </w:pPr>
      <w:r w:rsidRPr="000A3C32">
        <w:t>Interactive Dashboards</w:t>
      </w:r>
    </w:p>
    <w:p w:rsidRPr="000A3C32" w:rsidR="000A3C32" w:rsidP="000A3C32" w:rsidRDefault="000A3C32" w14:paraId="443CE111" w14:textId="77777777">
      <w:pPr>
        <w:numPr>
          <w:ilvl w:val="1"/>
          <w:numId w:val="1"/>
        </w:numPr>
      </w:pPr>
      <w:r w:rsidRPr="000A3C32">
        <w:t>Disability</w:t>
      </w:r>
    </w:p>
    <w:p w:rsidRPr="000A3C32" w:rsidR="000A3C32" w:rsidP="000A3C32" w:rsidRDefault="000A3C32" w14:paraId="6E9316F3" w14:textId="77777777">
      <w:pPr>
        <w:numPr>
          <w:ilvl w:val="1"/>
          <w:numId w:val="1"/>
        </w:numPr>
      </w:pPr>
      <w:r w:rsidRPr="000A3C32">
        <w:t>Institutionalized populations</w:t>
      </w:r>
    </w:p>
    <w:p w:rsidRPr="000A3C32" w:rsidR="000A3C32" w:rsidP="000A3C32" w:rsidRDefault="000A3C32" w14:paraId="1BE456F3" w14:textId="77777777">
      <w:pPr>
        <w:numPr>
          <w:ilvl w:val="0"/>
          <w:numId w:val="1"/>
        </w:numPr>
      </w:pPr>
      <w:r w:rsidRPr="000A3C32">
        <w:t xml:space="preserve">Data look up </w:t>
      </w:r>
      <w:proofErr w:type="gramStart"/>
      <w:r w:rsidRPr="000A3C32">
        <w:t>tool</w:t>
      </w:r>
      <w:proofErr w:type="gramEnd"/>
    </w:p>
    <w:p w:rsidRPr="000A3C32" w:rsidR="000A3C32" w:rsidP="000A3C32" w:rsidRDefault="000A3C32" w14:paraId="21E866B2" w14:textId="77777777">
      <w:pPr>
        <w:numPr>
          <w:ilvl w:val="1"/>
          <w:numId w:val="1"/>
        </w:numPr>
      </w:pPr>
      <w:r w:rsidRPr="000A3C32">
        <w:t xml:space="preserve">Access and download county level </w:t>
      </w:r>
      <w:proofErr w:type="gramStart"/>
      <w:r w:rsidRPr="000A3C32">
        <w:t>data</w:t>
      </w:r>
      <w:proofErr w:type="gramEnd"/>
    </w:p>
    <w:p w:rsidR="000A3C32" w:rsidP="000A3C32" w:rsidRDefault="000A3C32" w14:paraId="00905E5C" w14:textId="2BFD5AF1">
      <w:pPr>
        <w:pStyle w:val="Heading2"/>
      </w:pPr>
      <w:r w:rsidRPr="000A3C32">
        <w:t>Disability Counts: Dashboards</w:t>
      </w:r>
    </w:p>
    <w:p w:rsidRPr="000A3C32" w:rsidR="000A3C32" w:rsidP="000A3C32" w:rsidRDefault="000A3C32" w14:paraId="5C964DD2" w14:textId="77777777">
      <w:pPr>
        <w:numPr>
          <w:ilvl w:val="0"/>
          <w:numId w:val="2"/>
        </w:numPr>
      </w:pPr>
      <w:r w:rsidRPr="000A3C32">
        <w:t>Disability data:</w:t>
      </w:r>
    </w:p>
    <w:p w:rsidRPr="000A3C32" w:rsidR="000A3C32" w:rsidP="000A3C32" w:rsidRDefault="000A3C32" w14:paraId="0D344643" w14:textId="77777777">
      <w:pPr>
        <w:numPr>
          <w:ilvl w:val="1"/>
          <w:numId w:val="2"/>
        </w:numPr>
      </w:pPr>
      <w:r w:rsidRPr="000A3C32">
        <w:t>This dashboard consists of a set of interactive county and state maps displaying disability data that can be filtered by state and rural classification.</w:t>
      </w:r>
    </w:p>
    <w:p w:rsidRPr="000A3C32" w:rsidR="000A3C32" w:rsidP="000A3C32" w:rsidRDefault="000A3C32" w14:paraId="29782B11" w14:textId="77777777">
      <w:pPr>
        <w:numPr>
          <w:ilvl w:val="1"/>
          <w:numId w:val="2"/>
        </w:numPr>
      </w:pPr>
      <w:hyperlink w:history="1" r:id="rId5">
        <w:r w:rsidRPr="000A3C32">
          <w:rPr>
            <w:rStyle w:val="Hyperlink"/>
          </w:rPr>
          <w:t>Tutorial video available (English only)</w:t>
        </w:r>
      </w:hyperlink>
    </w:p>
    <w:p w:rsidRPr="000A3C32" w:rsidR="000A3C32" w:rsidP="000A3C32" w:rsidRDefault="000A3C32" w14:paraId="2F860BBB" w14:textId="77777777">
      <w:pPr>
        <w:numPr>
          <w:ilvl w:val="0"/>
          <w:numId w:val="2"/>
        </w:numPr>
      </w:pPr>
      <w:r w:rsidRPr="000A3C32">
        <w:t>Institutionalized Population data:</w:t>
      </w:r>
    </w:p>
    <w:p w:rsidRPr="000A3C32" w:rsidR="000A3C32" w:rsidP="000A3C32" w:rsidRDefault="000A3C32" w14:paraId="447CDD93" w14:textId="77777777">
      <w:pPr>
        <w:numPr>
          <w:ilvl w:val="1"/>
          <w:numId w:val="2"/>
        </w:numPr>
      </w:pPr>
      <w:r w:rsidRPr="000A3C32">
        <w:t xml:space="preserve">This dashboard consists of a set of interactive state and county maps displaying counts of individuals living in institutional settings, specifically </w:t>
      </w:r>
      <w:proofErr w:type="gramStart"/>
      <w:r w:rsidRPr="000A3C32">
        <w:t>correctional facilities</w:t>
      </w:r>
      <w:proofErr w:type="gramEnd"/>
      <w:r w:rsidRPr="000A3C32">
        <w:t xml:space="preserve"> and nursing homes.</w:t>
      </w:r>
    </w:p>
    <w:p w:rsidRPr="000A3C32" w:rsidR="000A3C32" w:rsidP="000A3C32" w:rsidRDefault="000A3C32" w14:paraId="054D25AD" w14:textId="77777777">
      <w:pPr>
        <w:numPr>
          <w:ilvl w:val="1"/>
          <w:numId w:val="2"/>
        </w:numPr>
      </w:pPr>
      <w:r w:rsidRPr="000A3C32">
        <w:t xml:space="preserve">The data in this dashboard </w:t>
      </w:r>
      <w:proofErr w:type="gramStart"/>
      <w:r w:rsidRPr="000A3C32">
        <w:t>represent</w:t>
      </w:r>
      <w:proofErr w:type="gramEnd"/>
      <w:r w:rsidRPr="000A3C32">
        <w:t xml:space="preserve"> the entire institutionalized population, not just people with disabilities and come from the 2020 Decennial Census. Data on people with disabilities who are in institutions </w:t>
      </w:r>
      <w:proofErr w:type="gramStart"/>
      <w:r w:rsidRPr="000A3C32">
        <w:t>are</w:t>
      </w:r>
      <w:proofErr w:type="gramEnd"/>
      <w:r w:rsidRPr="000A3C32">
        <w:t xml:space="preserve"> not available at the county level.</w:t>
      </w:r>
    </w:p>
    <w:p w:rsidR="000A3C32" w:rsidP="000A3C32" w:rsidRDefault="000A3C32" w14:paraId="4E614338" w14:textId="2C6B2F6E">
      <w:pPr>
        <w:pStyle w:val="Heading2"/>
      </w:pPr>
      <w:r w:rsidRPr="000A3C32">
        <w:t>Disability Counts</w:t>
      </w:r>
    </w:p>
    <w:p w:rsidRPr="000A3C32" w:rsidR="000A3C32" w:rsidP="000A3C32" w:rsidRDefault="000A3C32" w14:paraId="51953891" w14:textId="77777777">
      <w:pPr>
        <w:numPr>
          <w:ilvl w:val="0"/>
          <w:numId w:val="4"/>
        </w:numPr>
      </w:pPr>
      <w:r w:rsidRPr="000A3C32">
        <w:t xml:space="preserve">Data Look Up </w:t>
      </w:r>
      <w:proofErr w:type="gramStart"/>
      <w:r w:rsidRPr="000A3C32">
        <w:t>tool</w:t>
      </w:r>
      <w:proofErr w:type="gramEnd"/>
    </w:p>
    <w:p w:rsidRPr="000A3C32" w:rsidR="000A3C32" w:rsidP="000A3C32" w:rsidRDefault="000A3C32" w14:paraId="64A7E312" w14:textId="77777777">
      <w:pPr>
        <w:numPr>
          <w:ilvl w:val="1"/>
          <w:numId w:val="4"/>
        </w:numPr>
      </w:pPr>
      <w:r w:rsidRPr="000A3C32">
        <w:t>This interactive tool allows you to specify geography (i.e. states and counties) and a range of disability variables to create and download a unique dataset for the counties where you live and work.</w:t>
      </w:r>
    </w:p>
    <w:p w:rsidRPr="000A3C32" w:rsidR="000A3C32" w:rsidP="000A3C32" w:rsidRDefault="000A3C32" w14:paraId="17BF25EC" w14:textId="77777777">
      <w:pPr>
        <w:numPr>
          <w:ilvl w:val="1"/>
          <w:numId w:val="4"/>
        </w:numPr>
      </w:pPr>
      <w:hyperlink w:history="1" r:id="rId6">
        <w:r w:rsidRPr="000A3C32">
          <w:rPr>
            <w:rStyle w:val="Hyperlink"/>
          </w:rPr>
          <w:t>www.disabilitycounts.org</w:t>
        </w:r>
      </w:hyperlink>
    </w:p>
    <w:p w:rsidRPr="000A3C32" w:rsidR="000A3C32" w:rsidP="000A3C32" w:rsidRDefault="000A3C32" w14:paraId="55F907B9" w14:textId="77777777">
      <w:pPr>
        <w:pStyle w:val="Heading2"/>
      </w:pPr>
      <w:r w:rsidRPr="000A3C32">
        <w:t xml:space="preserve">Questions? </w:t>
      </w:r>
    </w:p>
    <w:p w:rsidRPr="000A3C32" w:rsidR="000A3C32" w:rsidP="000A3C32" w:rsidRDefault="000A3C32" w14:paraId="4DAA14FB" w14:textId="77777777">
      <w:hyperlink w:history="1" r:id="rId7">
        <w:r w:rsidRPr="000A3C32">
          <w:rPr>
            <w:rStyle w:val="Hyperlink"/>
          </w:rPr>
          <w:t>Lillie Greiman</w:t>
        </w:r>
      </w:hyperlink>
    </w:p>
    <w:p w:rsidRPr="000A3C32" w:rsidR="000A3C32" w:rsidP="000A3C32" w:rsidRDefault="000A3C32" w14:paraId="31EE9F83" w14:textId="10F3B3AF">
      <w:hyperlink r:id="R2c235001406940cc">
        <w:r w:rsidRPr="00B2A1C6" w:rsidR="00B2A1C6">
          <w:rPr>
            <w:rStyle w:val="Hyperlink"/>
          </w:rPr>
          <w:t>Lillie.Greiman@umontana.edu</w:t>
        </w:r>
      </w:hyperlink>
    </w:p>
    <w:p w:rsidR="00B2A1C6" w:rsidP="00B2A1C6" w:rsidRDefault="00B2A1C6" w14:paraId="49BAF51E" w14:textId="19B7C19D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D3B45"/>
          <w:sz w:val="28"/>
          <w:szCs w:val="28"/>
          <w:u w:val="none"/>
          <w:lang w:val="en-US"/>
        </w:rPr>
      </w:pPr>
    </w:p>
    <w:p w:rsidR="00B2A1C6" w:rsidP="00B2A1C6" w:rsidRDefault="00B2A1C6" w14:paraId="6C59767C" w14:textId="1258C76A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D3B45"/>
          <w:sz w:val="28"/>
          <w:szCs w:val="28"/>
          <w:u w:val="none"/>
          <w:lang w:val="en-US"/>
        </w:rPr>
      </w:pPr>
    </w:p>
    <w:p w:rsidR="00B2A1C6" w:rsidP="00B2A1C6" w:rsidRDefault="00B2A1C6" w14:paraId="28D8FF85" w14:textId="38F5BDF6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D3B45"/>
          <w:sz w:val="28"/>
          <w:szCs w:val="28"/>
          <w:u w:val="none"/>
          <w:lang w:val="en-US"/>
        </w:rPr>
      </w:pPr>
    </w:p>
    <w:p w:rsidR="00B2A1C6" w:rsidP="00B2A1C6" w:rsidRDefault="00B2A1C6" w14:paraId="02D1E893" w14:textId="70B23E79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D3B45"/>
          <w:sz w:val="28"/>
          <w:szCs w:val="28"/>
          <w:u w:val="none"/>
          <w:lang w:val="en-US"/>
        </w:rPr>
      </w:pPr>
    </w:p>
    <w:p w:rsidR="00B2A1C6" w:rsidP="00B2A1C6" w:rsidRDefault="00B2A1C6" w14:paraId="15767D2A" w14:textId="54B9E5ED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D3B45"/>
          <w:sz w:val="28"/>
          <w:szCs w:val="28"/>
          <w:u w:val="none"/>
          <w:lang w:val="en-US"/>
        </w:rPr>
      </w:pPr>
    </w:p>
    <w:p w:rsidR="00B2A1C6" w:rsidP="00B2A1C6" w:rsidRDefault="00B2A1C6" w14:paraId="274BCA3C" w14:textId="4350D087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D3B45"/>
          <w:sz w:val="28"/>
          <w:szCs w:val="28"/>
          <w:u w:val="none"/>
          <w:lang w:val="en-US"/>
        </w:rPr>
      </w:pPr>
    </w:p>
    <w:p w:rsidR="00B2A1C6" w:rsidP="00B2A1C6" w:rsidRDefault="00B2A1C6" w14:paraId="5CECB727" w14:textId="087A6204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D3B45"/>
          <w:sz w:val="28"/>
          <w:szCs w:val="28"/>
          <w:u w:val="none"/>
          <w:lang w:val="en-US"/>
        </w:rPr>
      </w:pPr>
    </w:p>
    <w:p w:rsidR="00B2A1C6" w:rsidP="00B2A1C6" w:rsidRDefault="00B2A1C6" w14:paraId="12CD363C" w14:textId="6D4588FD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D3B45"/>
          <w:sz w:val="28"/>
          <w:szCs w:val="28"/>
          <w:u w:val="none"/>
          <w:lang w:val="en-US"/>
        </w:rPr>
      </w:pPr>
    </w:p>
    <w:p w:rsidR="00B2A1C6" w:rsidP="00B2A1C6" w:rsidRDefault="00B2A1C6" w14:paraId="64191213" w14:textId="19E7782C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D3B45"/>
          <w:sz w:val="28"/>
          <w:szCs w:val="28"/>
          <w:u w:val="none"/>
          <w:lang w:val="en-US"/>
        </w:rPr>
      </w:pPr>
    </w:p>
    <w:p w:rsidR="00B2A1C6" w:rsidP="00B2A1C6" w:rsidRDefault="00B2A1C6" w14:paraId="55248649" w14:textId="33B4045B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D3B45"/>
          <w:sz w:val="28"/>
          <w:szCs w:val="28"/>
          <w:u w:val="none"/>
          <w:lang w:val="en-US"/>
        </w:rPr>
      </w:pPr>
    </w:p>
    <w:p w:rsidR="00B2A1C6" w:rsidP="00B2A1C6" w:rsidRDefault="00B2A1C6" w14:paraId="0668D8F0" w14:textId="098EEE45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D3B45"/>
          <w:sz w:val="28"/>
          <w:szCs w:val="28"/>
          <w:u w:val="none"/>
          <w:lang w:val="en-US"/>
        </w:rPr>
      </w:pPr>
    </w:p>
    <w:p w:rsidR="00B2A1C6" w:rsidP="00B2A1C6" w:rsidRDefault="00B2A1C6" w14:paraId="0A978A0F" w14:textId="5E58DFC6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D3B45"/>
          <w:sz w:val="28"/>
          <w:szCs w:val="28"/>
          <w:u w:val="none"/>
          <w:lang w:val="en-US"/>
        </w:rPr>
      </w:pPr>
    </w:p>
    <w:p w:rsidR="00B2A1C6" w:rsidP="00B2A1C6" w:rsidRDefault="00B2A1C6" w14:paraId="093107A9" w14:textId="66159EB1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D3B45"/>
          <w:sz w:val="28"/>
          <w:szCs w:val="28"/>
          <w:u w:val="none"/>
          <w:lang w:val="en-US"/>
        </w:rPr>
      </w:pPr>
    </w:p>
    <w:p w:rsidR="00B2A1C6" w:rsidP="00B2A1C6" w:rsidRDefault="00B2A1C6" w14:paraId="62061030" w14:textId="06585D44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D3B45"/>
          <w:sz w:val="28"/>
          <w:szCs w:val="28"/>
          <w:u w:val="none"/>
          <w:lang w:val="en-US"/>
        </w:rPr>
      </w:pPr>
    </w:p>
    <w:p w:rsidR="00B2A1C6" w:rsidP="00B2A1C6" w:rsidRDefault="00B2A1C6" w14:paraId="3B8E0307" w14:textId="63BAE5A1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D3B45"/>
          <w:sz w:val="28"/>
          <w:szCs w:val="28"/>
          <w:u w:val="none"/>
          <w:lang w:val="en-US"/>
        </w:rPr>
      </w:pPr>
    </w:p>
    <w:p w:rsidR="00B2A1C6" w:rsidP="00B2A1C6" w:rsidRDefault="00B2A1C6" w14:paraId="0A0E7A06" w14:textId="610D2370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D3B45"/>
          <w:sz w:val="28"/>
          <w:szCs w:val="28"/>
          <w:u w:val="none"/>
          <w:lang w:val="en-US"/>
        </w:rPr>
      </w:pPr>
      <w:r w:rsidRPr="00B2A1C6" w:rsidR="00B2A1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D3B45"/>
          <w:sz w:val="28"/>
          <w:szCs w:val="28"/>
          <w:u w:val="none"/>
          <w:lang w:val="en-US"/>
        </w:rPr>
        <w:t xml:space="preserve">This project was supported by funds made available from the Centers for Disease Control and Prevention, Center for State, Tribal, Local and Territorial Support, through cooperative agreement OT18-1802, Strengthening Public Health Systems and Services Through National Partnerships to Improve and Protect the Nation’s Health award #6 NU38OT000303-04-02.  Copyright © 2024 The Rural Institute for Inclusive Communities at The University of Montana. All rights reserved. </w:t>
      </w:r>
      <w:r w:rsidRPr="00B2A1C6" w:rsidR="00B2A1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sectPr w:rsidRPr="000A3C32" w:rsidR="000A3C3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164C4"/>
    <w:multiLevelType w:val="hybridMultilevel"/>
    <w:tmpl w:val="F8963C0A"/>
    <w:lvl w:ilvl="0" w:tplc="B6487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69C77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E329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86C5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7FEB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FD0F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A400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69EA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E8C3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47D20D1E"/>
    <w:multiLevelType w:val="hybridMultilevel"/>
    <w:tmpl w:val="B47A2E72"/>
    <w:lvl w:ilvl="0" w:tplc="1A187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DFC79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22AB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8B04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DD8B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CBE7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5D60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B668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F76A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4E0F63CD"/>
    <w:multiLevelType w:val="hybridMultilevel"/>
    <w:tmpl w:val="0A92C0A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59C52AFB"/>
    <w:multiLevelType w:val="hybridMultilevel"/>
    <w:tmpl w:val="29C2815A"/>
    <w:lvl w:ilvl="0" w:tplc="D02CD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7AACCE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D262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AD60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BE2B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6A05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4202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4BEA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DE69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 w15:restartNumberingAfterBreak="0">
    <w:nsid w:val="69FE75A2"/>
    <w:multiLevelType w:val="hybridMultilevel"/>
    <w:tmpl w:val="3BDA74D0"/>
    <w:lvl w:ilvl="0" w:tplc="DC2C2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3E2175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6F83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CF28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49E7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EFC0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746E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EC6A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2FCC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1749301265">
    <w:abstractNumId w:val="0"/>
  </w:num>
  <w:num w:numId="2" w16cid:durableId="1643928581">
    <w:abstractNumId w:val="3"/>
  </w:num>
  <w:num w:numId="3" w16cid:durableId="1211259898">
    <w:abstractNumId w:val="4"/>
  </w:num>
  <w:num w:numId="4" w16cid:durableId="584802508">
    <w:abstractNumId w:val="1"/>
  </w:num>
  <w:num w:numId="5" w16cid:durableId="988169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32"/>
    <w:rsid w:val="000A3C32"/>
    <w:rsid w:val="006B3038"/>
    <w:rsid w:val="00B2A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89551"/>
  <w15:chartTrackingRefBased/>
  <w15:docId w15:val="{5A6EA41B-40D2-49F0-A8A6-F069F542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C3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C3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C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C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C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C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C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C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A3C3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0A3C3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A3C3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A3C3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A3C3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A3C3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A3C3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A3C3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A3C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C3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A3C3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C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A3C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C3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A3C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C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C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C3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A3C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C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3C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2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61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0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8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2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1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0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4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62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701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hyperlink" Target="https://www.umt.edu/rural-disability-research/about-us/staff-bio-pages/lillie-greiman.php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disabilitycounts.org/" TargetMode="External" Id="rId6" /><Relationship Type="http://schemas.openxmlformats.org/officeDocument/2006/relationships/hyperlink" Target="https://rtc.ruralinstitute.umt.edu/geography/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mailto:Lillie.Greiman@umontana.edu" TargetMode="External" Id="R2c235001406940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Poelstra, James</dc:creator>
  <keywords/>
  <dc:description/>
  <lastModifiedBy>Emily Coyle</lastModifiedBy>
  <revision>2</revision>
  <dcterms:created xsi:type="dcterms:W3CDTF">2024-05-09T15:20:00.0000000Z</dcterms:created>
  <dcterms:modified xsi:type="dcterms:W3CDTF">2024-08-05T17:35:42.7789607Z</dcterms:modified>
</coreProperties>
</file>