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ucct818n5ls" w:id="0"/>
      <w:bookmarkEnd w:id="0"/>
      <w:r w:rsidDel="00000000" w:rsidR="00000000" w:rsidRPr="00000000">
        <w:rPr>
          <w:rtl w:val="0"/>
        </w:rPr>
        <w:t xml:space="preserve">Instituto de Acción para la Caminabilidad de Virginia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Charles</w:t>
      </w:r>
      <w:r w:rsidDel="00000000" w:rsidR="00000000" w:rsidRPr="00000000">
        <w:rPr>
          <w:rtl w:val="0"/>
        </w:rPr>
        <w:t xml:space="preserve"> T. Brown, MPA, CPD, LCI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00" w:before="120" w:lineRule="auto"/>
        <w:rPr/>
      </w:pPr>
      <w:bookmarkStart w:colFirst="0" w:colLast="0" w:name="_757u7ld94wsu" w:id="1"/>
      <w:bookmarkEnd w:id="1"/>
      <w:r w:rsidDel="00000000" w:rsidR="00000000" w:rsidRPr="00000000">
        <w:rPr>
          <w:rtl w:val="0"/>
        </w:rPr>
        <w:t xml:space="preserve">CONTEXTO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7/10 Adultos tienen sobrepeso/obesidad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1/10 Adultos con diabetes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4/10 Adultos con colesterol alto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3/10 Adultos con hipertensión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2/10 Adultos sin actividad física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1/2 colisiones a mitad de cruze de peatones causando lesiones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3/4 colisiones sin cruce marcado de peatones causando lesiones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8/10 colisiones fatales de peatones sin cruce marcado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2r9qo3lec808" w:id="2"/>
      <w:bookmarkEnd w:id="2"/>
      <w:r w:rsidDel="00000000" w:rsidR="00000000" w:rsidRPr="00000000">
        <w:rPr>
          <w:rtl w:val="0"/>
        </w:rPr>
        <w:t xml:space="preserve">¡¿Y qué?!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gu4rb8b9wkt6" w:id="3"/>
      <w:bookmarkEnd w:id="3"/>
      <w:r w:rsidDel="00000000" w:rsidR="00000000" w:rsidRPr="00000000">
        <w:rPr>
          <w:rtl w:val="0"/>
        </w:rPr>
        <w:t xml:space="preserve">EL ¿POR QUÉ?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Las comunidades amigables con la actividad fomentan la actividad física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Crear o modificar entornos puede hacer que nuestras comunidades sean más saludables y seguras para vivir, trabajar, jugar, aprender y adorar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eo6sn1e9i3g4" w:id="4"/>
      <w:bookmarkEnd w:id="4"/>
      <w:r w:rsidDel="00000000" w:rsidR="00000000" w:rsidRPr="00000000">
        <w:rPr>
          <w:rtl w:val="0"/>
        </w:rPr>
        <w:t xml:space="preserve">INSTITUTO DE ACCIÓN PARA LA CAMINABILIDAD DE VIRGINIA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xypue566533a" w:id="5"/>
      <w:bookmarkEnd w:id="5"/>
      <w:r w:rsidDel="00000000" w:rsidR="00000000" w:rsidRPr="00000000">
        <w:rPr>
          <w:rtl w:val="0"/>
        </w:rPr>
        <w:t xml:space="preserve">PROPÓSITO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Lugares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Políticas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Movilidad/</w:t>
        <w:br w:type="textWrapping"/>
        <w:t xml:space="preserve">Capacidad de Movimiento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Colaboraciones entre </w:t>
        <w:br w:type="textWrapping"/>
        <w:t xml:space="preserve">sectores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Equidad, inclusión y justicia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Datos y Monitoreo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Recursos y fondos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Programació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1jjm42u78g7z" w:id="6"/>
      <w:bookmarkEnd w:id="6"/>
      <w:r w:rsidDel="00000000" w:rsidR="00000000" w:rsidRPr="00000000">
        <w:rPr>
          <w:rtl w:val="0"/>
        </w:rPr>
        <w:t xml:space="preserve">META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preparen equipos multisectoriales locales y regionales, así como individuos, para perseguir cambios e intervenciones en políticas, sistemas y entornos con el fin de mejorar la salud de la población y reducir el riesgo y la carga de enfermedades crónicas mediante un mayor acceso a la actividad física, con un enfoque principal en la caminabilidad.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25 Expertos/Facultad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24 Equipos diversos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18 Localidades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120+ Virginianos Entrenados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Más de 1 millón de virginianos impactados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zh3yz0m2vuzw" w:id="7"/>
      <w:bookmarkEnd w:id="7"/>
      <w:r w:rsidDel="00000000" w:rsidR="00000000" w:rsidRPr="00000000">
        <w:rPr>
          <w:rtl w:val="0"/>
        </w:rPr>
        <w:t xml:space="preserve">Cohorte del VWAI (por sus siglas en inglés)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Qué puede esperar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5fzjm49zixtx" w:id="8"/>
      <w:bookmarkEnd w:id="8"/>
      <w:r w:rsidDel="00000000" w:rsidR="00000000" w:rsidRPr="00000000">
        <w:rPr>
          <w:rtl w:val="0"/>
        </w:rPr>
        <w:t xml:space="preserve">OPORTUNIDADES DE APRENDIZAJE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6eky8s4c3pwi" w:id="9"/>
      <w:bookmarkEnd w:id="9"/>
      <w:r w:rsidDel="00000000" w:rsidR="00000000" w:rsidRPr="00000000">
        <w:rPr>
          <w:rtl w:val="0"/>
        </w:rPr>
        <w:t xml:space="preserve">TEMAS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Equidad en la Salud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Equidad en el Transporte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Evaluaciones de Seguridad Vial con VDOT (por sus siglas en inglés)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Segregados por Diseño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Descriminalización de Cruzar Fuera del Paso de Peatones en Virginia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Transporte y Arte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Entrenamiento en Urbanismo Táctico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Calles Completas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Calles Seguras, Tranquilas y Lentas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Construcción de Alianzas Multisectoriales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Mediciónes de Rendimiento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Navegando el Proceso de Política Municipal y Estatal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Construyendo y Manteniendo Relaciones con el Liderazgo de la Ciudad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3jv25aeubfga" w:id="10"/>
      <w:bookmarkEnd w:id="10"/>
      <w:r w:rsidDel="00000000" w:rsidR="00000000" w:rsidRPr="00000000">
        <w:rPr>
          <w:rtl w:val="0"/>
        </w:rPr>
        <w:t xml:space="preserve">BENEFICIOS DE VWAI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Invitación a asistir a todas las reuniones presenciales de VWAI, módulos de aprendizaje a distancia y sesiones de asistencia técnica/horas de oficina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Oportunidad de participar en una(s) visita(s) al sitio comunitario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Oportunidad de participar en una Evaluación de Seguridad Vial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Acceso</w:t>
      </w:r>
      <w:r w:rsidDel="00000000" w:rsidR="00000000" w:rsidRPr="00000000">
        <w:rPr>
          <w:rtl w:val="0"/>
        </w:rPr>
        <w:t xml:space="preserve"> a expertos, herramientas y recursos en salud pública, caminar, andar en bicicleta, transporte público y micromovilidad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Acceso</w:t>
      </w:r>
      <w:r w:rsidDel="00000000" w:rsidR="00000000" w:rsidRPr="00000000">
        <w:rPr>
          <w:rtl w:val="0"/>
        </w:rPr>
        <w:t xml:space="preserve"> a financiamiento especial para proyectos: $30,000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Oportunidad de </w:t>
      </w:r>
      <w:r w:rsidDel="00000000" w:rsidR="00000000" w:rsidRPr="00000000">
        <w:rPr>
          <w:b w:val="1"/>
          <w:rtl w:val="0"/>
        </w:rPr>
        <w:t xml:space="preserve">impactar</w:t>
      </w:r>
      <w:r w:rsidDel="00000000" w:rsidR="00000000" w:rsidRPr="00000000">
        <w:rPr>
          <w:rtl w:val="0"/>
        </w:rPr>
        <w:t xml:space="preserve"> tu comunidad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n12en6n193up" w:id="11"/>
      <w:bookmarkEnd w:id="11"/>
      <w:r w:rsidDel="00000000" w:rsidR="00000000" w:rsidRPr="00000000">
        <w:rPr>
          <w:rtl w:val="0"/>
        </w:rPr>
        <w:t xml:space="preserve">Proyectos destacados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City of Waynesboro, Virginia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Imagen de personas pintando una carretera con múltiples colores. Hay señales de cruce peatonal a lo largo de la carretera. En el fondo, hay semáforos y conos de construcción naranjas, así como barreras en la carretera para evitar que el tráfico entre en la sección de la carretera que se está pintando.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Fairfax County, Virginia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Imagen de una niña joven con casco montando su bicicleta en un curso de ciclismo pintado que simula una intersección de carretera, con conos de tráfico y señales viales. El curso incluye flechas blancas, símbolos de bicicleta y una pequeña señal de pare.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City of Roanoke, Virginia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Vista aérea de una intersección muestra una carretera principal con un paso de peatones, extensiones de acera coloridas y aceras adyacentes. Las extensiones de acera pintadas presentan grandes lunares en rojo, azul y amarillo.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rPr/>
      </w:pPr>
      <w:bookmarkStart w:colFirst="0" w:colLast="0" w:name="_pjhskjf903ed" w:id="12"/>
      <w:bookmarkEnd w:id="12"/>
      <w:r w:rsidDel="00000000" w:rsidR="00000000" w:rsidRPr="00000000">
        <w:rPr>
          <w:rtl w:val="0"/>
        </w:rPr>
        <w:t xml:space="preserve">¡Los Departamentos de Salud pueden liderar el camino animando y creando proyectos de salud pública inclusivos!</w:t>
      </w:r>
    </w:p>
    <w:p w:rsidR="00000000" w:rsidDel="00000000" w:rsidP="00000000" w:rsidRDefault="00000000" w:rsidRPr="00000000" w14:paraId="00000057">
      <w:pPr>
        <w:pStyle w:val="Heading1"/>
        <w:rPr/>
      </w:pPr>
      <w:bookmarkStart w:colFirst="0" w:colLast="0" w:name="_78sxarcpl19y" w:id="13"/>
      <w:bookmarkEnd w:id="13"/>
      <w:r w:rsidDel="00000000" w:rsidR="00000000" w:rsidRPr="00000000">
        <w:rPr>
          <w:rtl w:val="0"/>
        </w:rPr>
        <w:t xml:space="preserve">¡Gracias!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Charles T. Brown, MPA, CPD, LCI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Correo electronico: charlesbrown@equitablecities.com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www.equitablecities.com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Equitable Cities. Todos los derechos reservados.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