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z1uppaccvfhv" w:id="0"/>
      <w:bookmarkEnd w:id="0"/>
      <w:r w:rsidDel="00000000" w:rsidR="00000000" w:rsidRPr="00000000">
        <w:rPr>
          <w:rtl w:val="0"/>
        </w:rPr>
        <w:t xml:space="preserve">Shaylin Sluzalis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www.disasterstrategies.org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Alianza para Estrategias Inclusivas ante Desastres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200" w:before="120" w:lineRule="auto"/>
        <w:rPr/>
      </w:pPr>
      <w:bookmarkStart w:colFirst="0" w:colLast="0" w:name="_cxypekui8tma" w:id="1"/>
      <w:bookmarkEnd w:id="1"/>
      <w:r w:rsidDel="00000000" w:rsidR="00000000" w:rsidRPr="00000000">
        <w:rPr>
          <w:rtl w:val="0"/>
        </w:rPr>
        <w:t xml:space="preserve">Enmarcando Discapacidad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El modelo social de la discapacidad dice que los discapacitados: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están enfermos,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Pueden tener y tienen una gran vida,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Están oprimidos, y que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capacitismo es la raíz de la opresión de las personas discapacitadas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qzeo7to8p3wr" w:id="2"/>
      <w:bookmarkEnd w:id="2"/>
      <w:r w:rsidDel="00000000" w:rsidR="00000000" w:rsidRPr="00000000">
        <w:rPr>
          <w:rtl w:val="0"/>
        </w:rPr>
        <w:t xml:space="preserve">Capacitismo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capacitismo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sustantivo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Capacitismo | \ ˈkä-pä-sə-ˌtēz-ˌmō \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Definición de capacitismo: discriminación o prejuicio contra individuos con discapacidades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Merriam–Webster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Opresión basada en la capacidad física, mental, intelectual, cognitiva, sensorial u otra habilidad o habilidad percibida.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Melissa Marshall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wceooq17gxbu" w:id="3"/>
      <w:bookmarkEnd w:id="3"/>
      <w:r w:rsidDel="00000000" w:rsidR="00000000" w:rsidRPr="00000000">
        <w:rPr>
          <w:rtl w:val="0"/>
        </w:rPr>
        <w:t xml:space="preserve">Interseccionalidad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La interseccionalidad es una manera de analizar los efectos entrelazados que enfrentan las personas con múltiples identidades marginadas.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Las personas de color, las minorías religiosas y étnicas, las de bajos ingresos y otras personas con discapacidades que tienen múltiples identidades marginadas enfrentan prejuicios, capacitismo y discriminación desproporcionados.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/>
      </w:pPr>
      <w:bookmarkStart w:colFirst="0" w:colLast="0" w:name="_r30aipon0ney" w:id="4"/>
      <w:bookmarkEnd w:id="4"/>
      <w:r w:rsidDel="00000000" w:rsidR="00000000" w:rsidRPr="00000000">
        <w:rPr>
          <w:rtl w:val="0"/>
        </w:rPr>
        <w:t xml:space="preserve">Accesibilidad versus inclusión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Accesibilidad:</w:t>
      </w:r>
      <w:r w:rsidDel="00000000" w:rsidR="00000000" w:rsidRPr="00000000">
        <w:rPr>
          <w:rtl w:val="0"/>
        </w:rPr>
        <w:t xml:space="preserve"> A menudo se refiere al cumplimiento de los estándares en la Ley para Personas con Discapacidades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Inclusión:</w:t>
      </w:r>
      <w:r w:rsidDel="00000000" w:rsidR="00000000" w:rsidRPr="00000000">
        <w:rPr>
          <w:rtl w:val="0"/>
        </w:rPr>
        <w:t xml:space="preserve"> Ir más allá para apoyar la participación de las personas con discapacidad, por ejemplo, mantas pesadas o audífonos con cancelación de ruido en clínicas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Este proyecto fue apoyado por fondos disponibles de los Centros para el Control y la Prevención de Enfermedades, Centro de Apoyo Estatal, Tribal, Local y Territorial, a través del acuerdo de cooperación OT18-1802, "Fortalecimiento de los Sistemas y Servicios de Salud Pública a través de Alianzas Nacionales para Mejorar y Proteger la Salud de la Nación," premio #6 NU38OT000303-04-02.  Derechos Reservados © NACCHO. Todos los derechos reservados.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12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